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52F0" w:rsidRPr="008352F0" w:rsidRDefault="008352F0" w:rsidP="008352F0">
      <w:pPr>
        <w:widowControl/>
        <w:suppressAutoHyphens w:val="0"/>
        <w:spacing w:line="480" w:lineRule="auto"/>
        <w:jc w:val="center"/>
        <w:rPr>
          <w:rFonts w:eastAsia="Batang"/>
          <w:kern w:val="0"/>
          <w:lang w:val="es-ES" w:eastAsia="ko-KR"/>
        </w:rPr>
      </w:pPr>
      <w:r w:rsidRPr="008352F0">
        <w:rPr>
          <w:rFonts w:eastAsia="Batang"/>
          <w:b/>
          <w:bCs/>
          <w:color w:val="000000"/>
          <w:kern w:val="0"/>
          <w:u w:val="single"/>
          <w:lang w:eastAsia="ko-KR"/>
        </w:rPr>
        <w:t xml:space="preserve">CIRCULAR Nº </w:t>
      </w:r>
      <w:r w:rsidR="00E80A31">
        <w:rPr>
          <w:rFonts w:eastAsia="Batang"/>
          <w:b/>
          <w:bCs/>
          <w:color w:val="000000"/>
          <w:kern w:val="0"/>
          <w:u w:val="single"/>
          <w:lang w:eastAsia="ko-KR"/>
        </w:rPr>
        <w:t>59-2019</w:t>
      </w:r>
    </w:p>
    <w:p w:rsidR="008352F0" w:rsidRPr="008352F0" w:rsidRDefault="008352F0" w:rsidP="0032712F">
      <w:pPr>
        <w:widowControl/>
        <w:suppressAutoHyphens w:val="0"/>
        <w:spacing w:line="480" w:lineRule="auto"/>
        <w:ind w:firstLine="709"/>
        <w:jc w:val="both"/>
        <w:rPr>
          <w:rFonts w:eastAsia="Batang"/>
          <w:kern w:val="0"/>
          <w:lang w:val="es-ES" w:eastAsia="ko-KR"/>
        </w:rPr>
      </w:pPr>
      <w:r w:rsidRPr="008352F0">
        <w:rPr>
          <w:rFonts w:eastAsia="Batang"/>
          <w:b/>
          <w:bCs/>
          <w:kern w:val="0"/>
          <w:u w:val="single"/>
          <w:lang w:eastAsia="ko-KR"/>
        </w:rPr>
        <w:t>Asunto</w:t>
      </w:r>
      <w:r w:rsidRPr="008352F0">
        <w:rPr>
          <w:rFonts w:eastAsia="Batang"/>
          <w:kern w:val="0"/>
          <w:lang w:eastAsia="ko-KR"/>
        </w:rPr>
        <w:t xml:space="preserve">: </w:t>
      </w:r>
      <w:r w:rsidR="0032712F">
        <w:rPr>
          <w:bCs/>
        </w:rPr>
        <w:t>Reiteración de la circular N° 148-16 “</w:t>
      </w:r>
      <w:r w:rsidR="0032712F" w:rsidRPr="00EB390E">
        <w:rPr>
          <w:i/>
        </w:rPr>
        <w:t>Nuevos formularios que se deben utilizar para rendir los</w:t>
      </w:r>
      <w:r w:rsidR="0032712F" w:rsidRPr="00EB390E">
        <w:rPr>
          <w:bCs/>
          <w:i/>
        </w:rPr>
        <w:t xml:space="preserve"> “</w:t>
      </w:r>
      <w:r w:rsidR="0032712F" w:rsidRPr="00EB390E">
        <w:rPr>
          <w:bCs/>
          <w:i/>
          <w:iCs/>
        </w:rPr>
        <w:t>Informes de Fin de Gestión</w:t>
      </w:r>
      <w:r w:rsidR="0032712F">
        <w:rPr>
          <w:bCs/>
        </w:rPr>
        <w:t>”</w:t>
      </w:r>
      <w:r w:rsidR="0032712F" w:rsidRPr="00A13370">
        <w:rPr>
          <w:bCs/>
        </w:rPr>
        <w:t>.-</w:t>
      </w:r>
    </w:p>
    <w:p w:rsidR="0032712F" w:rsidRDefault="0032712F" w:rsidP="0032712F">
      <w:pPr>
        <w:ind w:firstLine="567"/>
        <w:jc w:val="center"/>
        <w:rPr>
          <w:b/>
          <w:lang w:eastAsia="es-ES"/>
        </w:rPr>
      </w:pPr>
      <w:r w:rsidRPr="00837507">
        <w:rPr>
          <w:b/>
          <w:lang w:eastAsia="es-ES"/>
        </w:rPr>
        <w:t xml:space="preserve">A TODAS LAS JEFATURAS, SERVIDORAS Y SERVIDORES JUDICIALES DEL PAÍS </w:t>
      </w:r>
    </w:p>
    <w:p w:rsidR="00947F86" w:rsidRPr="00837507" w:rsidRDefault="00947F86" w:rsidP="0032712F">
      <w:pPr>
        <w:ind w:firstLine="567"/>
        <w:jc w:val="center"/>
        <w:rPr>
          <w:b/>
          <w:lang w:eastAsia="es-ES"/>
        </w:rPr>
      </w:pPr>
    </w:p>
    <w:p w:rsidR="008352F0" w:rsidRPr="008352F0" w:rsidRDefault="008352F0" w:rsidP="008352F0">
      <w:pPr>
        <w:widowControl/>
        <w:suppressAutoHyphens w:val="0"/>
        <w:spacing w:line="480" w:lineRule="auto"/>
        <w:jc w:val="center"/>
        <w:rPr>
          <w:rFonts w:eastAsia="Batang"/>
          <w:kern w:val="0"/>
          <w:lang w:val="es-ES" w:eastAsia="ko-KR"/>
        </w:rPr>
      </w:pPr>
      <w:r w:rsidRPr="008352F0">
        <w:rPr>
          <w:rFonts w:eastAsia="Batang"/>
          <w:b/>
          <w:bCs/>
          <w:kern w:val="0"/>
          <w:u w:val="single"/>
          <w:lang w:eastAsia="ko-KR"/>
        </w:rPr>
        <w:t>SE LES HACE SABER QUE</w:t>
      </w:r>
      <w:r w:rsidRPr="008352F0">
        <w:rPr>
          <w:rFonts w:eastAsia="Batang"/>
          <w:b/>
          <w:bCs/>
          <w:kern w:val="0"/>
          <w:lang w:eastAsia="ko-KR"/>
        </w:rPr>
        <w:t>:</w:t>
      </w:r>
    </w:p>
    <w:p w:rsidR="008352F0" w:rsidRDefault="008352F0" w:rsidP="008352F0">
      <w:pPr>
        <w:widowControl/>
        <w:suppressAutoHyphens w:val="0"/>
        <w:spacing w:line="360" w:lineRule="auto"/>
        <w:ind w:firstLine="709"/>
        <w:jc w:val="both"/>
        <w:rPr>
          <w:bCs/>
        </w:rPr>
      </w:pPr>
      <w:r w:rsidRPr="008352F0">
        <w:rPr>
          <w:rFonts w:eastAsia="Batang"/>
          <w:kern w:val="0"/>
          <w:lang w:eastAsia="ko-KR"/>
        </w:rPr>
        <w:t xml:space="preserve">El Consejo Superior en sesión Nº </w:t>
      </w:r>
      <w:r w:rsidR="00B27838">
        <w:rPr>
          <w:rFonts w:eastAsia="Batang"/>
          <w:kern w:val="0"/>
          <w:lang w:eastAsia="ko-KR"/>
        </w:rPr>
        <w:t>30-19</w:t>
      </w:r>
      <w:r w:rsidRPr="008352F0">
        <w:rPr>
          <w:rFonts w:eastAsia="Batang"/>
          <w:kern w:val="0"/>
          <w:lang w:eastAsia="ko-KR"/>
        </w:rPr>
        <w:t xml:space="preserve"> celebrada el </w:t>
      </w:r>
      <w:r w:rsidR="00B27838">
        <w:rPr>
          <w:rFonts w:eastAsia="Batang"/>
          <w:kern w:val="0"/>
          <w:lang w:eastAsia="ko-KR"/>
        </w:rPr>
        <w:t>2 de abril de 2019, artículo LXI</w:t>
      </w:r>
      <w:r w:rsidRPr="008352F0">
        <w:rPr>
          <w:rFonts w:eastAsia="Batang"/>
          <w:kern w:val="0"/>
          <w:lang w:eastAsia="ko-KR"/>
        </w:rPr>
        <w:t xml:space="preserve">, </w:t>
      </w:r>
      <w:r w:rsidR="00947F86">
        <w:rPr>
          <w:rFonts w:eastAsia="Batang"/>
          <w:kern w:val="0"/>
          <w:lang w:eastAsia="ko-KR"/>
        </w:rPr>
        <w:t xml:space="preserve">dispuso reiterar la circular N° 148-16 </w:t>
      </w:r>
      <w:r w:rsidR="00E80A31">
        <w:rPr>
          <w:rFonts w:eastAsia="Batang"/>
          <w:kern w:val="0"/>
          <w:lang w:eastAsia="ko-KR"/>
        </w:rPr>
        <w:t xml:space="preserve">denominada </w:t>
      </w:r>
      <w:r w:rsidR="00947F86">
        <w:rPr>
          <w:bCs/>
        </w:rPr>
        <w:t>“</w:t>
      </w:r>
      <w:r w:rsidR="00947F86" w:rsidRPr="00EB390E">
        <w:rPr>
          <w:i/>
        </w:rPr>
        <w:t>Nuevos formularios que se deben utilizar para rendir los</w:t>
      </w:r>
      <w:r w:rsidR="00947F86" w:rsidRPr="00EB390E">
        <w:rPr>
          <w:bCs/>
          <w:i/>
        </w:rPr>
        <w:t xml:space="preserve"> “</w:t>
      </w:r>
      <w:r w:rsidR="00947F86" w:rsidRPr="00EB390E">
        <w:rPr>
          <w:bCs/>
          <w:i/>
          <w:iCs/>
        </w:rPr>
        <w:t>Informes de Fin de Gestión</w:t>
      </w:r>
      <w:r w:rsidR="00947F86">
        <w:rPr>
          <w:bCs/>
        </w:rPr>
        <w:t>”, que literalmente dice:</w:t>
      </w:r>
    </w:p>
    <w:p w:rsidR="00947F86" w:rsidRDefault="00947F86" w:rsidP="00947F86">
      <w:pPr>
        <w:widowControl/>
        <w:suppressAutoHyphens w:val="0"/>
        <w:autoSpaceDE w:val="0"/>
        <w:autoSpaceDN w:val="0"/>
        <w:adjustRightInd w:val="0"/>
        <w:ind w:left="851" w:right="851" w:firstLine="567"/>
        <w:jc w:val="both"/>
        <w:rPr>
          <w:i/>
        </w:rPr>
      </w:pPr>
      <w:r>
        <w:rPr>
          <w:i/>
        </w:rPr>
        <w:t>“</w:t>
      </w:r>
      <w:r w:rsidRPr="00EB390E">
        <w:rPr>
          <w:i/>
        </w:rPr>
        <w:t>El Consejo Superior en sesión Nº 102-12, celebrada el 22 de noviembre de 2012, artículo XXX, acordó comunicarles que las jefaturas y los titulares subordinados de las diferentes oficinas y despachos judiciales deben aplicar obligatoriamente los formularios que se indican a continuación para rendir los informes de fin de gestión.</w:t>
      </w:r>
    </w:p>
    <w:p w:rsidR="00947F86" w:rsidRPr="00EB390E" w:rsidRDefault="00947F86" w:rsidP="00947F86">
      <w:pPr>
        <w:widowControl/>
        <w:suppressAutoHyphens w:val="0"/>
        <w:autoSpaceDE w:val="0"/>
        <w:autoSpaceDN w:val="0"/>
        <w:adjustRightInd w:val="0"/>
        <w:ind w:left="851" w:right="851" w:firstLine="567"/>
        <w:jc w:val="both"/>
        <w:rPr>
          <w:i/>
        </w:rPr>
      </w:pPr>
      <w:r w:rsidRPr="00EB390E">
        <w:rPr>
          <w:i/>
        </w:rPr>
        <w:t xml:space="preserve"> </w:t>
      </w:r>
    </w:p>
    <w:p w:rsidR="00947F86" w:rsidRDefault="00947F86" w:rsidP="00947F86">
      <w:pPr>
        <w:widowControl/>
        <w:suppressAutoHyphens w:val="0"/>
        <w:autoSpaceDE w:val="0"/>
        <w:autoSpaceDN w:val="0"/>
        <w:adjustRightInd w:val="0"/>
        <w:ind w:left="851" w:right="851" w:firstLine="567"/>
        <w:jc w:val="both"/>
        <w:rPr>
          <w:i/>
        </w:rPr>
      </w:pPr>
      <w:r w:rsidRPr="00EB390E">
        <w:rPr>
          <w:i/>
        </w:rPr>
        <w:t xml:space="preserve">Asimismo, la titular subordinada o el titular subordinado debe presentar el informe en forma digital a su superior jerárquico inmediato en un plazo no mayor a diez días posteriores al finalizar su labor en el cargo con una copia para su sucesora o sucesor, o en el caso de las juezas coordinadoras o jueces coordinadores con copia a las demás juezas o jueces del despacho, al Despacho de </w:t>
      </w:r>
      <w:smartTag w:uri="urn:schemas-microsoft-com:office:smarttags" w:element="PersonName">
        <w:smartTagPr>
          <w:attr w:name="tabIndex" w:val="0"/>
          <w:attr w:name="style" w:val="BACKGROUND-IMAGE: url(res://ietag.dll/#34/#1001); BACKGROUND-REPEAT: repeat-x; BACKGROUND-POSITION: left bottom"/>
          <w:attr w:name="ProductID" w:val="la Presidencia"/>
        </w:smartTagPr>
        <w:r w:rsidRPr="00EB390E">
          <w:rPr>
            <w:i/>
          </w:rPr>
          <w:t>la Presidencia</w:t>
        </w:r>
      </w:smartTag>
      <w:r w:rsidRPr="00EB390E">
        <w:rPr>
          <w:i/>
        </w:rPr>
        <w:t xml:space="preserve"> y la coordinadora o coordinador judicial respectivo, para que éste le reciba los expedientes y activos incluidos en su informe y haga posterior traslado a su sucesora o sucesor. En todos los casos, se deberá remitir copia en forma digital del informe al Departamento de Personal, para que sea agregado al expediente person</w:t>
      </w:r>
      <w:r>
        <w:rPr>
          <w:i/>
        </w:rPr>
        <w:t>al.</w:t>
      </w:r>
    </w:p>
    <w:p w:rsidR="00947F86" w:rsidRPr="00EB390E" w:rsidRDefault="00947F86" w:rsidP="00947F86">
      <w:pPr>
        <w:widowControl/>
        <w:suppressAutoHyphens w:val="0"/>
        <w:autoSpaceDE w:val="0"/>
        <w:autoSpaceDN w:val="0"/>
        <w:adjustRightInd w:val="0"/>
        <w:ind w:left="851" w:right="851" w:firstLine="567"/>
        <w:jc w:val="both"/>
        <w:rPr>
          <w:i/>
        </w:rPr>
      </w:pPr>
    </w:p>
    <w:p w:rsidR="00947F86" w:rsidRDefault="00947F86" w:rsidP="00947F86">
      <w:pPr>
        <w:widowControl/>
        <w:suppressAutoHyphens w:val="0"/>
        <w:autoSpaceDE w:val="0"/>
        <w:autoSpaceDN w:val="0"/>
        <w:adjustRightInd w:val="0"/>
        <w:ind w:left="851" w:right="851" w:firstLine="567"/>
        <w:jc w:val="both"/>
        <w:rPr>
          <w:i/>
        </w:rPr>
      </w:pPr>
      <w:r w:rsidRPr="00EB390E">
        <w:rPr>
          <w:i/>
        </w:rPr>
        <w:t>Para efectos de cumplimiento efectivo de los plazos de entrega, se tomará como referencia la fecha de remisión por correo electrónico. De no ser posible utilizar medios tecnológicos, se tomaría como referencia el “sello de recibido” del despacho u oficina judicial o bien la fecha de recibido que consignan los equipos electrónicos.</w:t>
      </w:r>
    </w:p>
    <w:p w:rsidR="00947F86" w:rsidRPr="00EB390E" w:rsidRDefault="00947F86" w:rsidP="00947F86">
      <w:pPr>
        <w:widowControl/>
        <w:suppressAutoHyphens w:val="0"/>
        <w:autoSpaceDE w:val="0"/>
        <w:autoSpaceDN w:val="0"/>
        <w:adjustRightInd w:val="0"/>
        <w:ind w:left="851" w:right="851" w:firstLine="567"/>
        <w:jc w:val="both"/>
        <w:rPr>
          <w:i/>
        </w:rPr>
      </w:pPr>
      <w:r w:rsidRPr="00EB390E">
        <w:rPr>
          <w:i/>
        </w:rPr>
        <w:t xml:space="preserve"> </w:t>
      </w:r>
    </w:p>
    <w:p w:rsidR="00947F86" w:rsidRDefault="00947F86" w:rsidP="00947F86">
      <w:pPr>
        <w:widowControl/>
        <w:suppressAutoHyphens w:val="0"/>
        <w:autoSpaceDE w:val="0"/>
        <w:autoSpaceDN w:val="0"/>
        <w:adjustRightInd w:val="0"/>
        <w:ind w:left="851" w:right="851" w:firstLine="567"/>
        <w:jc w:val="both"/>
        <w:rPr>
          <w:i/>
        </w:rPr>
      </w:pPr>
      <w:r w:rsidRPr="00EB390E">
        <w:rPr>
          <w:i/>
        </w:rPr>
        <w:t xml:space="preserve">En caso de incumplimiento en la presentación del informe, la jefatura inmediata titular subordinada o titular subordinado del despacho jurisdiccional deberá comunicarlo al Consejo Superior o a Corte Plena, según sea el caso. </w:t>
      </w:r>
    </w:p>
    <w:p w:rsidR="00947F86" w:rsidRPr="00EB390E" w:rsidRDefault="00947F86" w:rsidP="00947F86">
      <w:pPr>
        <w:widowControl/>
        <w:suppressAutoHyphens w:val="0"/>
        <w:autoSpaceDE w:val="0"/>
        <w:autoSpaceDN w:val="0"/>
        <w:adjustRightInd w:val="0"/>
        <w:ind w:left="851" w:right="851" w:firstLine="567"/>
        <w:jc w:val="both"/>
        <w:rPr>
          <w:i/>
        </w:rPr>
      </w:pPr>
    </w:p>
    <w:p w:rsidR="00947F86" w:rsidRDefault="00947F86" w:rsidP="00947F86">
      <w:pPr>
        <w:widowControl/>
        <w:suppressAutoHyphens w:val="0"/>
        <w:autoSpaceDE w:val="0"/>
        <w:autoSpaceDN w:val="0"/>
        <w:adjustRightInd w:val="0"/>
        <w:ind w:left="851" w:right="851" w:firstLine="567"/>
        <w:jc w:val="both"/>
        <w:rPr>
          <w:i/>
        </w:rPr>
      </w:pPr>
      <w:r w:rsidRPr="00EB390E">
        <w:rPr>
          <w:i/>
        </w:rPr>
        <w:t xml:space="preserve">El formulario N° 2 para la rendición de informes de fin de gestión, en los nombramientos de períodos menores a tres meses, sustituirá el incluido en la Circular Nº 24-09 del 13 de abril de 2009, de la Secretaría General de la Corte, publicada en el Boletín Judicial Nº 79-09 del 24 de abril de 2009. </w:t>
      </w:r>
    </w:p>
    <w:p w:rsidR="00947F86" w:rsidRPr="00EB390E" w:rsidRDefault="00947F86" w:rsidP="00947F86">
      <w:pPr>
        <w:widowControl/>
        <w:suppressAutoHyphens w:val="0"/>
        <w:autoSpaceDE w:val="0"/>
        <w:autoSpaceDN w:val="0"/>
        <w:adjustRightInd w:val="0"/>
        <w:ind w:left="851" w:right="851" w:firstLine="567"/>
        <w:jc w:val="both"/>
        <w:rPr>
          <w:i/>
        </w:rPr>
      </w:pPr>
    </w:p>
    <w:p w:rsidR="00947F86" w:rsidRDefault="00947F86" w:rsidP="00947F86">
      <w:pPr>
        <w:widowControl/>
        <w:suppressAutoHyphens w:val="0"/>
        <w:autoSpaceDE w:val="0"/>
        <w:autoSpaceDN w:val="0"/>
        <w:adjustRightInd w:val="0"/>
        <w:ind w:left="851" w:right="851" w:firstLine="567"/>
        <w:jc w:val="both"/>
        <w:rPr>
          <w:i/>
        </w:rPr>
      </w:pPr>
      <w:r w:rsidRPr="00EB390E">
        <w:rPr>
          <w:i/>
        </w:rPr>
        <w:t xml:space="preserve">Los formatos de los formularios aprobados son los siguientes: </w:t>
      </w:r>
    </w:p>
    <w:p w:rsidR="00947F86" w:rsidRDefault="00947F86" w:rsidP="00947F86">
      <w:pPr>
        <w:widowControl/>
        <w:suppressAutoHyphens w:val="0"/>
        <w:autoSpaceDE w:val="0"/>
        <w:autoSpaceDN w:val="0"/>
        <w:adjustRightInd w:val="0"/>
        <w:ind w:left="851" w:right="851" w:firstLine="567"/>
        <w:jc w:val="both"/>
        <w:rPr>
          <w:lang w:val="es-ES"/>
        </w:rPr>
      </w:pPr>
    </w:p>
    <w:p w:rsidR="00947F86" w:rsidRDefault="00947F86" w:rsidP="00947F86">
      <w:pPr>
        <w:jc w:val="center"/>
        <w:rPr>
          <w:lang w:val="es-ES"/>
        </w:rPr>
      </w:pPr>
      <w:r>
        <w:rPr>
          <w:b/>
          <w:bCs/>
        </w:rPr>
        <w:t>FORMULARIO Nº 1</w:t>
      </w:r>
      <w:r>
        <w:rPr>
          <w:lang w:val="es-ES"/>
        </w:rPr>
        <w:t xml:space="preserve"> </w:t>
      </w:r>
    </w:p>
    <w:p w:rsidR="00947F86" w:rsidRDefault="00947F86" w:rsidP="00947F86">
      <w:pPr>
        <w:jc w:val="center"/>
        <w:rPr>
          <w:lang w:val="es-ES"/>
        </w:rPr>
      </w:pPr>
      <w:r>
        <w:rPr>
          <w:b/>
          <w:bCs/>
        </w:rPr>
        <w:t>INFORME DE FIN DE GESTIÓN</w:t>
      </w:r>
      <w:r>
        <w:rPr>
          <w:lang w:val="es-ES"/>
        </w:rPr>
        <w:t xml:space="preserve"> </w:t>
      </w:r>
    </w:p>
    <w:p w:rsidR="00947F86" w:rsidRDefault="00947F86" w:rsidP="00947F86">
      <w:pPr>
        <w:jc w:val="center"/>
        <w:rPr>
          <w:lang w:val="es-ES"/>
        </w:rPr>
      </w:pPr>
      <w:r>
        <w:rPr>
          <w:b/>
          <w:bCs/>
        </w:rPr>
        <w:t>(para períodos iguales o mayores a tres meses)</w:t>
      </w:r>
      <w:r>
        <w:rPr>
          <w:lang w:val="es-ES"/>
        </w:rPr>
        <w:t xml:space="preserve"> </w:t>
      </w:r>
    </w:p>
    <w:p w:rsidR="00947F86" w:rsidRPr="00545EB9" w:rsidRDefault="00947F86" w:rsidP="00947F86">
      <w:pPr>
        <w:widowControl/>
        <w:suppressAutoHyphens w:val="0"/>
        <w:autoSpaceDE w:val="0"/>
        <w:autoSpaceDN w:val="0"/>
        <w:adjustRightInd w:val="0"/>
        <w:ind w:left="851" w:right="851" w:firstLine="567"/>
        <w:jc w:val="both"/>
        <w:rPr>
          <w:i/>
        </w:rPr>
      </w:pPr>
      <w:r w:rsidRPr="00545EB9">
        <w:rPr>
          <w:i/>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
        <w:gridCol w:w="4724"/>
        <w:gridCol w:w="4018"/>
      </w:tblGrid>
      <w:tr w:rsidR="00947F86" w:rsidTr="00146992">
        <w:trPr>
          <w:jc w:val="center"/>
        </w:trPr>
        <w:tc>
          <w:tcPr>
            <w:tcW w:w="15" w:type="pct"/>
            <w:tcBorders>
              <w:top w:val="single" w:sz="8" w:space="0" w:color="auto"/>
              <w:left w:val="single" w:sz="8" w:space="0" w:color="auto"/>
              <w:bottom w:val="single" w:sz="8" w:space="0" w:color="auto"/>
              <w:right w:val="single" w:sz="8" w:space="0" w:color="auto"/>
            </w:tcBorders>
            <w:vAlign w:val="center"/>
            <w:hideMark/>
          </w:tcPr>
          <w:p w:rsidR="00947F86" w:rsidRDefault="00947F86" w:rsidP="00146992">
            <w:pPr>
              <w:spacing w:before="100" w:beforeAutospacing="1" w:after="100" w:afterAutospacing="1"/>
              <w:jc w:val="both"/>
              <w:rPr>
                <w:color w:val="000000"/>
                <w:sz w:val="14"/>
                <w:szCs w:val="14"/>
              </w:rPr>
            </w:pPr>
          </w:p>
        </w:tc>
        <w:tc>
          <w:tcPr>
            <w:tcW w:w="4985" w:type="pct"/>
            <w:gridSpan w:val="2"/>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1.-</w:t>
            </w:r>
          </w:p>
          <w:p w:rsidR="00947F86" w:rsidRPr="005348BE" w:rsidRDefault="00947F86" w:rsidP="00146992">
            <w:pPr>
              <w:jc w:val="both"/>
              <w:rPr>
                <w:color w:val="000000"/>
                <w:sz w:val="20"/>
                <w:szCs w:val="20"/>
              </w:rPr>
            </w:pPr>
            <w:r w:rsidRPr="005348BE">
              <w:rPr>
                <w:color w:val="000000"/>
                <w:sz w:val="20"/>
                <w:szCs w:val="20"/>
              </w:rPr>
              <w:t xml:space="preserve">Código de Oficina: </w:t>
            </w:r>
          </w:p>
        </w:tc>
      </w:tr>
      <w:tr w:rsidR="00947F86" w:rsidTr="00146992">
        <w:trPr>
          <w:jc w:val="center"/>
        </w:trPr>
        <w:tc>
          <w:tcPr>
            <w:tcW w:w="15" w:type="pct"/>
            <w:tcBorders>
              <w:top w:val="nil"/>
              <w:left w:val="single" w:sz="8" w:space="0" w:color="auto"/>
              <w:bottom w:val="single" w:sz="8" w:space="0" w:color="auto"/>
              <w:right w:val="single" w:sz="8" w:space="0" w:color="auto"/>
            </w:tcBorders>
            <w:vAlign w:val="center"/>
            <w:hideMark/>
          </w:tcPr>
          <w:p w:rsidR="00947F86" w:rsidRDefault="00947F86" w:rsidP="00146992">
            <w:pPr>
              <w:spacing w:before="100" w:beforeAutospacing="1" w:after="100" w:afterAutospacing="1"/>
              <w:jc w:val="both"/>
              <w:rPr>
                <w:color w:val="000000"/>
                <w:sz w:val="14"/>
                <w:szCs w:val="14"/>
              </w:rPr>
            </w:pPr>
          </w:p>
        </w:tc>
        <w:tc>
          <w:tcPr>
            <w:tcW w:w="4985" w:type="pct"/>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2.-</w:t>
            </w:r>
          </w:p>
          <w:p w:rsidR="00947F86" w:rsidRPr="005348BE" w:rsidRDefault="00947F86" w:rsidP="00146992">
            <w:pPr>
              <w:jc w:val="both"/>
              <w:rPr>
                <w:color w:val="000000"/>
                <w:sz w:val="20"/>
                <w:szCs w:val="20"/>
              </w:rPr>
            </w:pPr>
            <w:r w:rsidRPr="005348BE">
              <w:rPr>
                <w:color w:val="000000"/>
                <w:sz w:val="20"/>
                <w:szCs w:val="20"/>
              </w:rPr>
              <w:t xml:space="preserve">Nombre de la oficina, del despacho u oficina judicial (Tribunal, Juzgado, Dirección, Departamento, Sección, Unidad, Fiscalía, Oficina, Delegación, entre otros): </w:t>
            </w:r>
          </w:p>
        </w:tc>
      </w:tr>
      <w:tr w:rsidR="00947F86" w:rsidTr="00146992">
        <w:trPr>
          <w:jc w:val="center"/>
        </w:trPr>
        <w:tc>
          <w:tcPr>
            <w:tcW w:w="15" w:type="pct"/>
            <w:tcBorders>
              <w:top w:val="nil"/>
              <w:left w:val="single" w:sz="8" w:space="0" w:color="auto"/>
              <w:bottom w:val="single" w:sz="8" w:space="0" w:color="auto"/>
              <w:right w:val="single" w:sz="8" w:space="0" w:color="auto"/>
            </w:tcBorders>
            <w:vAlign w:val="center"/>
            <w:hideMark/>
          </w:tcPr>
          <w:p w:rsidR="00947F86" w:rsidRDefault="00947F86" w:rsidP="00146992">
            <w:pPr>
              <w:spacing w:before="100" w:beforeAutospacing="1" w:after="100" w:afterAutospacing="1"/>
              <w:rPr>
                <w:color w:val="000000"/>
                <w:sz w:val="14"/>
                <w:szCs w:val="14"/>
              </w:rPr>
            </w:pPr>
          </w:p>
        </w:tc>
        <w:tc>
          <w:tcPr>
            <w:tcW w:w="4985" w:type="pct"/>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3.-</w:t>
            </w:r>
          </w:p>
          <w:p w:rsidR="00947F86" w:rsidRPr="005348BE" w:rsidRDefault="00947F86" w:rsidP="00146992">
            <w:pPr>
              <w:jc w:val="both"/>
              <w:rPr>
                <w:color w:val="000000"/>
                <w:sz w:val="20"/>
                <w:szCs w:val="20"/>
              </w:rPr>
            </w:pPr>
            <w:r w:rsidRPr="005348BE">
              <w:rPr>
                <w:color w:val="000000"/>
                <w:sz w:val="20"/>
                <w:szCs w:val="20"/>
              </w:rPr>
              <w:t xml:space="preserve">Fecha de inicio y término del período al que corresponde el informe de gestión: </w:t>
            </w:r>
          </w:p>
        </w:tc>
      </w:tr>
      <w:tr w:rsidR="00947F86" w:rsidTr="00146992">
        <w:trPr>
          <w:jc w:val="center"/>
        </w:trPr>
        <w:tc>
          <w:tcPr>
            <w:tcW w:w="15" w:type="pct"/>
            <w:tcBorders>
              <w:top w:val="nil"/>
              <w:left w:val="single" w:sz="8" w:space="0" w:color="auto"/>
              <w:bottom w:val="single" w:sz="8" w:space="0" w:color="auto"/>
              <w:right w:val="single" w:sz="8" w:space="0" w:color="auto"/>
            </w:tcBorders>
            <w:vAlign w:val="center"/>
            <w:hideMark/>
          </w:tcPr>
          <w:p w:rsidR="00947F86" w:rsidRDefault="00947F86" w:rsidP="00146992">
            <w:pPr>
              <w:spacing w:before="100" w:beforeAutospacing="1" w:after="100" w:afterAutospacing="1"/>
              <w:rPr>
                <w:color w:val="000000"/>
                <w:sz w:val="14"/>
                <w:szCs w:val="14"/>
              </w:rPr>
            </w:pPr>
          </w:p>
        </w:tc>
        <w:tc>
          <w:tcPr>
            <w:tcW w:w="4985" w:type="pct"/>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4.-</w:t>
            </w:r>
          </w:p>
          <w:p w:rsidR="00947F86" w:rsidRPr="005348BE" w:rsidRDefault="00947F86" w:rsidP="00146992">
            <w:pPr>
              <w:jc w:val="both"/>
              <w:rPr>
                <w:color w:val="000000"/>
                <w:sz w:val="20"/>
                <w:szCs w:val="20"/>
              </w:rPr>
            </w:pPr>
            <w:r w:rsidRPr="005348BE">
              <w:rPr>
                <w:color w:val="000000"/>
                <w:sz w:val="20"/>
                <w:szCs w:val="20"/>
              </w:rPr>
              <w:t xml:space="preserve">Motivo de cese del nombramiento: </w:t>
            </w:r>
          </w:p>
        </w:tc>
      </w:tr>
      <w:tr w:rsidR="00947F86" w:rsidTr="00146992">
        <w:trPr>
          <w:jc w:val="center"/>
        </w:trPr>
        <w:tc>
          <w:tcPr>
            <w:tcW w:w="15" w:type="pct"/>
            <w:tcBorders>
              <w:top w:val="nil"/>
              <w:left w:val="single" w:sz="8" w:space="0" w:color="auto"/>
              <w:bottom w:val="single" w:sz="8" w:space="0" w:color="auto"/>
              <w:right w:val="single" w:sz="8" w:space="0" w:color="auto"/>
            </w:tcBorders>
            <w:vAlign w:val="center"/>
            <w:hideMark/>
          </w:tcPr>
          <w:p w:rsidR="00947F86" w:rsidRDefault="00947F86" w:rsidP="00146992">
            <w:pPr>
              <w:spacing w:before="100" w:beforeAutospacing="1" w:after="100" w:afterAutospacing="1"/>
              <w:rPr>
                <w:color w:val="000000"/>
                <w:sz w:val="14"/>
                <w:szCs w:val="14"/>
              </w:rPr>
            </w:pPr>
          </w:p>
        </w:tc>
        <w:tc>
          <w:tcPr>
            <w:tcW w:w="4985" w:type="pct"/>
            <w:gridSpan w:val="2"/>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5.-</w:t>
            </w:r>
          </w:p>
          <w:p w:rsidR="00947F86" w:rsidRPr="005348BE" w:rsidRDefault="00947F86" w:rsidP="00146992">
            <w:pPr>
              <w:jc w:val="both"/>
              <w:rPr>
                <w:color w:val="000000"/>
                <w:sz w:val="20"/>
                <w:szCs w:val="20"/>
              </w:rPr>
            </w:pPr>
            <w:r w:rsidRPr="005348BE">
              <w:rPr>
                <w:color w:val="000000"/>
                <w:sz w:val="20"/>
                <w:szCs w:val="20"/>
              </w:rPr>
              <w:t>Nombre de la persona que recibe el cargo, así como el nombre de la persona que entrega el informe:</w:t>
            </w:r>
            <w:r w:rsidRPr="005348BE">
              <w:rPr>
                <w:b/>
                <w:bCs/>
                <w:color w:val="000000"/>
                <w:sz w:val="20"/>
                <w:szCs w:val="20"/>
              </w:rPr>
              <w:t xml:space="preserve"> </w:t>
            </w: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6.-</w:t>
            </w:r>
          </w:p>
          <w:p w:rsidR="00947F86" w:rsidRPr="005348BE" w:rsidRDefault="00947F86" w:rsidP="00146992">
            <w:pPr>
              <w:rPr>
                <w:color w:val="000000"/>
                <w:sz w:val="20"/>
                <w:szCs w:val="20"/>
              </w:rPr>
            </w:pPr>
            <w:r w:rsidRPr="005348BE">
              <w:rPr>
                <w:color w:val="000000"/>
                <w:sz w:val="20"/>
                <w:szCs w:val="20"/>
              </w:rPr>
              <w:t xml:space="preserve">Breve reseña de cómo encontró su área de trabajo donde se le nombró.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7.-</w:t>
            </w:r>
          </w:p>
          <w:p w:rsidR="00947F86" w:rsidRPr="005348BE" w:rsidRDefault="00947F86" w:rsidP="00146992">
            <w:pPr>
              <w:jc w:val="both"/>
              <w:rPr>
                <w:color w:val="000000"/>
                <w:sz w:val="20"/>
                <w:szCs w:val="20"/>
              </w:rPr>
            </w:pPr>
            <w:r w:rsidRPr="005348BE">
              <w:rPr>
                <w:color w:val="000000"/>
                <w:sz w:val="20"/>
                <w:szCs w:val="20"/>
              </w:rPr>
              <w:t xml:space="preserve">Cambios mostrados en el entorno durante el período de su gestión, incluyendo los principales cambios en el ordenamiento jurídico y las variables socioeconómicas que influyen en el quehacer institucional o de esa oficina o despacho judicial.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8.-</w:t>
            </w:r>
          </w:p>
          <w:p w:rsidR="00947F86" w:rsidRPr="005348BE" w:rsidRDefault="00947F86" w:rsidP="00146992">
            <w:pPr>
              <w:jc w:val="both"/>
              <w:rPr>
                <w:color w:val="000000"/>
                <w:sz w:val="20"/>
                <w:szCs w:val="20"/>
              </w:rPr>
            </w:pPr>
            <w:r w:rsidRPr="005348BE">
              <w:rPr>
                <w:color w:val="000000"/>
                <w:sz w:val="20"/>
                <w:szCs w:val="20"/>
              </w:rPr>
              <w:t xml:space="preserve">Si durante el período de nombramiento le correspondió gestionar informes relativos al estado de la autoevaluación del sistema de control interno institucional y el estado en que quedaron las acciones que realizó en torno a la autoevaluación.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9.-</w:t>
            </w:r>
          </w:p>
          <w:p w:rsidR="00947F86" w:rsidRPr="005348BE" w:rsidRDefault="00947F86" w:rsidP="00146992">
            <w:pPr>
              <w:jc w:val="both"/>
              <w:rPr>
                <w:color w:val="000000"/>
                <w:sz w:val="20"/>
                <w:szCs w:val="20"/>
              </w:rPr>
            </w:pPr>
            <w:r w:rsidRPr="005348BE">
              <w:rPr>
                <w:color w:val="000000"/>
                <w:sz w:val="20"/>
                <w:szCs w:val="20"/>
              </w:rPr>
              <w:t xml:space="preserve">Acciones emprendidas para establecer, mantener, perfeccionar y evaluar el sistema de control interno institucional o de la unidad según corresponda al jerarca o titular subordinado.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trHeight w:val="1556"/>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10.-</w:t>
            </w:r>
          </w:p>
          <w:p w:rsidR="00947F86" w:rsidRPr="005348BE" w:rsidRDefault="00947F86" w:rsidP="00146992">
            <w:pPr>
              <w:rPr>
                <w:color w:val="000000"/>
                <w:sz w:val="20"/>
                <w:szCs w:val="20"/>
              </w:rPr>
            </w:pPr>
            <w:r w:rsidRPr="005348BE">
              <w:rPr>
                <w:color w:val="000000"/>
                <w:sz w:val="20"/>
                <w:szCs w:val="20"/>
              </w:rPr>
              <w:t xml:space="preserve">Forma de gestionar informes referentes a Sistema de Valoración de Riesgos (SEVRI-PJ) del despacho, oficina o área, según corresponda y el estado en que quedaron las acciones que realizó en torno al SEVRI-PJ.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11.-</w:t>
            </w:r>
          </w:p>
          <w:p w:rsidR="00947F86" w:rsidRPr="005348BE" w:rsidRDefault="00947F86" w:rsidP="00146992">
            <w:pPr>
              <w:jc w:val="both"/>
              <w:rPr>
                <w:color w:val="000000"/>
                <w:sz w:val="20"/>
                <w:szCs w:val="20"/>
              </w:rPr>
            </w:pPr>
            <w:r w:rsidRPr="005348BE">
              <w:rPr>
                <w:color w:val="000000"/>
                <w:sz w:val="20"/>
                <w:szCs w:val="20"/>
              </w:rPr>
              <w:t xml:space="preserve">Acciones relacionadas con los planes operativos y estratégicos.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12.-</w:t>
            </w:r>
          </w:p>
          <w:p w:rsidR="00947F86" w:rsidRPr="005348BE" w:rsidRDefault="00947F86" w:rsidP="00146992">
            <w:pPr>
              <w:jc w:val="both"/>
              <w:rPr>
                <w:color w:val="000000"/>
                <w:sz w:val="20"/>
                <w:szCs w:val="20"/>
              </w:rPr>
            </w:pPr>
            <w:r w:rsidRPr="005348BE">
              <w:rPr>
                <w:color w:val="000000"/>
                <w:sz w:val="20"/>
                <w:szCs w:val="20"/>
              </w:rPr>
              <w:t xml:space="preserve">Detalle de los logros alcanzados durante su gestión.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13.-</w:t>
            </w:r>
          </w:p>
          <w:p w:rsidR="00947F86" w:rsidRPr="005348BE" w:rsidRDefault="00947F86" w:rsidP="00146992">
            <w:pPr>
              <w:jc w:val="both"/>
              <w:rPr>
                <w:color w:val="000000"/>
                <w:sz w:val="20"/>
                <w:szCs w:val="20"/>
              </w:rPr>
            </w:pPr>
            <w:r w:rsidRPr="005348BE">
              <w:rPr>
                <w:color w:val="000000"/>
                <w:sz w:val="20"/>
                <w:szCs w:val="20"/>
              </w:rPr>
              <w:t xml:space="preserve">Estado de los asuntos existentes al inicio de su gestión y de los que dejó pendientes de concluir.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14.-</w:t>
            </w:r>
          </w:p>
          <w:p w:rsidR="00947F86" w:rsidRPr="005348BE" w:rsidRDefault="00947F86" w:rsidP="00146992">
            <w:pPr>
              <w:jc w:val="both"/>
              <w:rPr>
                <w:color w:val="000000"/>
                <w:sz w:val="20"/>
                <w:szCs w:val="20"/>
              </w:rPr>
            </w:pPr>
            <w:r w:rsidRPr="005348BE">
              <w:rPr>
                <w:color w:val="000000"/>
                <w:sz w:val="20"/>
                <w:szCs w:val="20"/>
              </w:rPr>
              <w:t xml:space="preserve">Estado en que quedaron las recomendaciones de la Auditoría Judicial.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15.-</w:t>
            </w:r>
          </w:p>
          <w:p w:rsidR="00947F86" w:rsidRPr="005348BE" w:rsidRDefault="00947F86" w:rsidP="00146992">
            <w:pPr>
              <w:jc w:val="both"/>
              <w:rPr>
                <w:color w:val="000000"/>
                <w:sz w:val="20"/>
                <w:szCs w:val="20"/>
              </w:rPr>
            </w:pPr>
            <w:r w:rsidRPr="005348BE">
              <w:rPr>
                <w:color w:val="000000"/>
                <w:sz w:val="20"/>
                <w:szCs w:val="20"/>
              </w:rPr>
              <w:t xml:space="preserve">Administración de los recursos asignados durante su gestión.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16.-</w:t>
            </w:r>
          </w:p>
          <w:p w:rsidR="00947F86" w:rsidRPr="005348BE" w:rsidRDefault="00947F86" w:rsidP="00146992">
            <w:pPr>
              <w:jc w:val="both"/>
              <w:rPr>
                <w:color w:val="000000"/>
                <w:sz w:val="20"/>
                <w:szCs w:val="20"/>
              </w:rPr>
            </w:pPr>
            <w:r w:rsidRPr="005348BE">
              <w:rPr>
                <w:color w:val="000000"/>
                <w:sz w:val="20"/>
                <w:szCs w:val="20"/>
              </w:rPr>
              <w:t xml:space="preserve">Sugerencias para la buena marcha del despacho u oficina judicial.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17.-</w:t>
            </w:r>
          </w:p>
          <w:p w:rsidR="00947F86" w:rsidRPr="005348BE" w:rsidRDefault="00947F86" w:rsidP="00146992">
            <w:pPr>
              <w:jc w:val="both"/>
              <w:rPr>
                <w:color w:val="000000"/>
                <w:sz w:val="20"/>
                <w:szCs w:val="20"/>
              </w:rPr>
            </w:pPr>
            <w:r w:rsidRPr="005348BE">
              <w:rPr>
                <w:color w:val="000000"/>
                <w:sz w:val="20"/>
                <w:szCs w:val="20"/>
              </w:rPr>
              <w:t xml:space="preserve">Observaciones, sobre otros asuntos de actualidad que a su criterio el despacho u oficina judicial enfrenta o debería aprovechar.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18.-</w:t>
            </w:r>
          </w:p>
          <w:p w:rsidR="00947F86" w:rsidRPr="005348BE" w:rsidRDefault="00947F86" w:rsidP="00146992">
            <w:pPr>
              <w:jc w:val="both"/>
              <w:rPr>
                <w:color w:val="000000"/>
                <w:sz w:val="20"/>
                <w:szCs w:val="20"/>
              </w:rPr>
            </w:pPr>
            <w:r w:rsidRPr="005348BE">
              <w:rPr>
                <w:color w:val="000000"/>
                <w:sz w:val="20"/>
                <w:szCs w:val="20"/>
              </w:rPr>
              <w:t xml:space="preserve">Estado actual del cumplimiento de las disposiciones que durante su gestión, le giraron los órganos de control.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19.-</w:t>
            </w:r>
          </w:p>
          <w:p w:rsidR="00947F86" w:rsidRPr="005348BE" w:rsidRDefault="00947F86" w:rsidP="00146992">
            <w:pPr>
              <w:jc w:val="both"/>
              <w:rPr>
                <w:color w:val="000000"/>
                <w:sz w:val="20"/>
                <w:szCs w:val="20"/>
              </w:rPr>
            </w:pPr>
            <w:r w:rsidRPr="005348BE">
              <w:rPr>
                <w:color w:val="000000"/>
                <w:sz w:val="20"/>
                <w:szCs w:val="20"/>
              </w:rPr>
              <w:t xml:space="preserve">Detalle de los asuntos en proceso o que deben ser asumidos. Incluir informe estadístico de causas o asuntos atendidos y sin atender.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2709" w:type="pct"/>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jc w:val="both"/>
              <w:rPr>
                <w:b/>
                <w:bCs/>
                <w:color w:val="000000"/>
              </w:rPr>
            </w:pPr>
            <w:r>
              <w:rPr>
                <w:b/>
                <w:bCs/>
                <w:color w:val="000000"/>
              </w:rPr>
              <w:t>20.-</w:t>
            </w:r>
          </w:p>
          <w:p w:rsidR="00947F86" w:rsidRPr="005348BE" w:rsidRDefault="00947F86" w:rsidP="00146992">
            <w:pPr>
              <w:jc w:val="both"/>
              <w:rPr>
                <w:color w:val="000000"/>
                <w:sz w:val="20"/>
                <w:szCs w:val="20"/>
              </w:rPr>
            </w:pPr>
            <w:r w:rsidRPr="005348BE">
              <w:rPr>
                <w:color w:val="000000"/>
                <w:sz w:val="20"/>
                <w:szCs w:val="20"/>
              </w:rPr>
              <w:t>Detalle y estado de los bienes institucionales que le hayan sido</w:t>
            </w:r>
            <w:r w:rsidRPr="005348BE">
              <w:rPr>
                <w:b/>
                <w:bCs/>
                <w:color w:val="000000"/>
                <w:sz w:val="20"/>
                <w:szCs w:val="20"/>
              </w:rPr>
              <w:t xml:space="preserve"> </w:t>
            </w:r>
            <w:r w:rsidRPr="005348BE">
              <w:rPr>
                <w:color w:val="000000"/>
                <w:sz w:val="20"/>
                <w:szCs w:val="20"/>
              </w:rPr>
              <w:t xml:space="preserve">asignados. </w:t>
            </w:r>
          </w:p>
        </w:tc>
        <w:tc>
          <w:tcPr>
            <w:tcW w:w="229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15" w:type="pct"/>
            <w:tcBorders>
              <w:top w:val="nil"/>
              <w:left w:val="single" w:sz="8" w:space="0" w:color="auto"/>
              <w:bottom w:val="single" w:sz="8" w:space="0" w:color="auto"/>
              <w:right w:val="single" w:sz="8" w:space="0" w:color="auto"/>
            </w:tcBorders>
            <w:vAlign w:val="center"/>
            <w:hideMark/>
          </w:tcPr>
          <w:p w:rsidR="00947F86" w:rsidRDefault="00947F86" w:rsidP="00146992">
            <w:pPr>
              <w:spacing w:before="100" w:beforeAutospacing="1" w:after="100" w:afterAutospacing="1"/>
              <w:rPr>
                <w:color w:val="000000"/>
                <w:sz w:val="14"/>
                <w:szCs w:val="14"/>
              </w:rPr>
            </w:pPr>
          </w:p>
        </w:tc>
        <w:tc>
          <w:tcPr>
            <w:tcW w:w="2694" w:type="pct"/>
            <w:tcBorders>
              <w:top w:val="nil"/>
              <w:left w:val="nil"/>
              <w:bottom w:val="single" w:sz="8" w:space="0" w:color="auto"/>
              <w:right w:val="single" w:sz="8" w:space="0" w:color="auto"/>
            </w:tcBorders>
            <w:vAlign w:val="center"/>
            <w:hideMark/>
          </w:tcPr>
          <w:p w:rsidR="00947F86" w:rsidRDefault="00947F86" w:rsidP="00146992">
            <w:pPr>
              <w:spacing w:before="100" w:beforeAutospacing="1" w:after="100" w:afterAutospacing="1"/>
              <w:rPr>
                <w:color w:val="000000"/>
                <w:sz w:val="14"/>
                <w:szCs w:val="14"/>
              </w:rPr>
            </w:pPr>
          </w:p>
        </w:tc>
        <w:tc>
          <w:tcPr>
            <w:tcW w:w="2291" w:type="pct"/>
            <w:tcBorders>
              <w:top w:val="nil"/>
              <w:left w:val="nil"/>
              <w:bottom w:val="single" w:sz="8" w:space="0" w:color="auto"/>
              <w:right w:val="single" w:sz="8" w:space="0" w:color="auto"/>
            </w:tcBorders>
            <w:vAlign w:val="center"/>
            <w:hideMark/>
          </w:tcPr>
          <w:p w:rsidR="00947F86" w:rsidRDefault="00947F86" w:rsidP="00146992">
            <w:pPr>
              <w:spacing w:before="100" w:beforeAutospacing="1" w:after="100" w:afterAutospacing="1"/>
              <w:rPr>
                <w:color w:val="000000"/>
                <w:sz w:val="14"/>
                <w:szCs w:val="14"/>
              </w:rPr>
            </w:pPr>
          </w:p>
        </w:tc>
      </w:tr>
    </w:tbl>
    <w:p w:rsidR="00947F86" w:rsidRDefault="00947F86" w:rsidP="00947F86">
      <w:pPr>
        <w:pStyle w:val="Textoindependiente"/>
        <w:rPr>
          <w:lang w:val="es-ES"/>
        </w:rPr>
      </w:pPr>
      <w:r>
        <w:rPr>
          <w:b/>
          <w:bCs/>
          <w:i/>
          <w:iCs/>
        </w:rPr>
        <w:t>NOTA: En caso de requerir ampliar la información, puede indicar lo que considere necesario, en hojas adicionales a este reporte de labores efectuadas durante la suplencia.</w:t>
      </w:r>
      <w:r>
        <w:rPr>
          <w:lang w:val="es-ES"/>
        </w:rPr>
        <w:t xml:space="preserve"> </w:t>
      </w:r>
    </w:p>
    <w:p w:rsidR="00947F86" w:rsidRDefault="00947F86" w:rsidP="00947F86">
      <w:pPr>
        <w:pStyle w:val="Textoindependiente"/>
        <w:jc w:val="center"/>
        <w:rPr>
          <w:lang w:val="es-ES"/>
        </w:rPr>
      </w:pPr>
      <w:r>
        <w:rPr>
          <w:b/>
          <w:bCs/>
          <w:u w:val="single"/>
        </w:rPr>
        <w:t xml:space="preserve">Sello de </w:t>
      </w:r>
      <w:smartTag w:uri="urn:schemas-microsoft-com:office:smarttags" w:element="PersonName">
        <w:smartTagPr>
          <w:attr w:name="tabIndex" w:val="0"/>
          <w:attr w:name="style" w:val="BACKGROUND-IMAGE: url(res://ietag.dll/#34/#1001); BACKGROUND-REPEAT: repeat-x; BACKGROUND-POSITION: left bottom"/>
          <w:attr w:name="ProductID" w:val="la Oficina"/>
        </w:smartTagPr>
        <w:r>
          <w:rPr>
            <w:b/>
            <w:bCs/>
            <w:u w:val="single"/>
          </w:rPr>
          <w:t>la Oficina</w:t>
        </w:r>
      </w:smartTag>
      <w:r>
        <w:rPr>
          <w:lang w:val="es-ES"/>
        </w:rPr>
        <w:t xml:space="preserve"> </w:t>
      </w:r>
    </w:p>
    <w:p w:rsidR="00947F86" w:rsidRDefault="00947F86" w:rsidP="00947F86">
      <w:pPr>
        <w:pStyle w:val="Textoindependiente"/>
        <w:jc w:val="center"/>
        <w:rPr>
          <w:lang w:val="es-ES"/>
        </w:rPr>
      </w:pPr>
      <w:r>
        <w:t>_________________________________________________________</w:t>
      </w:r>
      <w:r>
        <w:rPr>
          <w:lang w:val="es-ES"/>
        </w:rPr>
        <w:t xml:space="preserve"> </w:t>
      </w:r>
    </w:p>
    <w:p w:rsidR="00947F86" w:rsidRDefault="00947F86" w:rsidP="00947F86">
      <w:pPr>
        <w:pStyle w:val="Textoindependiente"/>
        <w:jc w:val="center"/>
        <w:rPr>
          <w:lang w:val="es-ES"/>
        </w:rPr>
      </w:pPr>
      <w:r>
        <w:t>Firma de servidora o servidor que suscribe el informe</w:t>
      </w:r>
      <w:r>
        <w:rPr>
          <w:lang w:val="es-ES"/>
        </w:rPr>
        <w:t xml:space="preserve"> </w:t>
      </w:r>
    </w:p>
    <w:p w:rsidR="00947F86" w:rsidRDefault="00947F86" w:rsidP="00947F86">
      <w:pPr>
        <w:pStyle w:val="Textoindependiente"/>
        <w:jc w:val="center"/>
        <w:rPr>
          <w:lang w:val="es-ES"/>
        </w:rPr>
      </w:pPr>
      <w:r>
        <w:t>___________________________________________________________</w:t>
      </w:r>
      <w:r>
        <w:rPr>
          <w:lang w:val="es-ES"/>
        </w:rPr>
        <w:t xml:space="preserve"> </w:t>
      </w:r>
    </w:p>
    <w:p w:rsidR="00947F86" w:rsidRDefault="00947F86" w:rsidP="00947F86">
      <w:pPr>
        <w:pStyle w:val="Textoindependiente"/>
        <w:jc w:val="center"/>
        <w:rPr>
          <w:lang w:val="es-ES"/>
        </w:rPr>
      </w:pPr>
      <w:r>
        <w:t>Firma de servidora o servidor que recibe el informe</w:t>
      </w:r>
      <w:r>
        <w:rPr>
          <w:lang w:val="es-ES"/>
        </w:rPr>
        <w:t xml:space="preserve"> </w:t>
      </w:r>
    </w:p>
    <w:p w:rsidR="00947F86" w:rsidRDefault="00947F86" w:rsidP="00947F86">
      <w:pPr>
        <w:pStyle w:val="Textoindependiente"/>
        <w:jc w:val="center"/>
        <w:rPr>
          <w:lang w:val="es-ES"/>
        </w:rPr>
      </w:pPr>
    </w:p>
    <w:p w:rsidR="00947F86" w:rsidRDefault="00947F86" w:rsidP="00947F86">
      <w:pPr>
        <w:jc w:val="center"/>
        <w:rPr>
          <w:lang w:val="es-ES"/>
        </w:rPr>
      </w:pPr>
      <w:r>
        <w:rPr>
          <w:b/>
          <w:bCs/>
        </w:rPr>
        <w:t>FORMULARIO Nº 2</w:t>
      </w:r>
      <w:r>
        <w:rPr>
          <w:lang w:val="es-ES"/>
        </w:rPr>
        <w:t xml:space="preserve"> </w:t>
      </w:r>
    </w:p>
    <w:p w:rsidR="00947F86" w:rsidRDefault="00947F86" w:rsidP="00947F86">
      <w:pPr>
        <w:jc w:val="center"/>
        <w:rPr>
          <w:lang w:val="es-ES"/>
        </w:rPr>
      </w:pPr>
      <w:r>
        <w:rPr>
          <w:b/>
          <w:bCs/>
        </w:rPr>
        <w:t>INFORME DE FIN DE GESTIÓN</w:t>
      </w:r>
      <w:r>
        <w:rPr>
          <w:lang w:val="es-ES"/>
        </w:rPr>
        <w:t xml:space="preserve"> </w:t>
      </w:r>
    </w:p>
    <w:p w:rsidR="00947F86" w:rsidRDefault="00947F86" w:rsidP="00947F86">
      <w:pPr>
        <w:jc w:val="center"/>
        <w:rPr>
          <w:lang w:val="es-ES"/>
        </w:rPr>
      </w:pPr>
      <w:r>
        <w:rPr>
          <w:b/>
          <w:bCs/>
        </w:rPr>
        <w:t>(para períodos menores a tres meses)</w:t>
      </w:r>
      <w:r>
        <w:rPr>
          <w:lang w:val="es-ES"/>
        </w:rPr>
        <w:t xml:space="preserve"> </w:t>
      </w:r>
    </w:p>
    <w:p w:rsidR="00947F86" w:rsidRDefault="00947F86" w:rsidP="00947F86">
      <w:pPr>
        <w:jc w:val="center"/>
        <w:rPr>
          <w:lang w:val="es-ES"/>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9"/>
        <w:gridCol w:w="1124"/>
        <w:gridCol w:w="1329"/>
        <w:gridCol w:w="1289"/>
        <w:gridCol w:w="1296"/>
        <w:gridCol w:w="2092"/>
      </w:tblGrid>
      <w:tr w:rsidR="00947F86" w:rsidTr="00146992">
        <w:trPr>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1.-</w:t>
            </w:r>
          </w:p>
          <w:p w:rsidR="00947F86" w:rsidRPr="005348BE" w:rsidRDefault="00947F86" w:rsidP="00146992">
            <w:pPr>
              <w:jc w:val="both"/>
              <w:rPr>
                <w:color w:val="000000"/>
                <w:sz w:val="20"/>
                <w:szCs w:val="20"/>
              </w:rPr>
            </w:pPr>
            <w:r w:rsidRPr="005348BE">
              <w:rPr>
                <w:color w:val="000000"/>
                <w:sz w:val="20"/>
                <w:szCs w:val="20"/>
              </w:rPr>
              <w:t xml:space="preserve">Nombre de la persona sustituida: </w:t>
            </w:r>
          </w:p>
        </w:tc>
      </w:tr>
      <w:tr w:rsidR="00947F86" w:rsidTr="00146992">
        <w:trPr>
          <w:jc w:val="center"/>
        </w:trPr>
        <w:tc>
          <w:tcPr>
            <w:tcW w:w="5000" w:type="pct"/>
            <w:gridSpan w:val="6"/>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2.-</w:t>
            </w:r>
          </w:p>
          <w:p w:rsidR="00947F86" w:rsidRPr="005348BE" w:rsidRDefault="00947F86" w:rsidP="00146992">
            <w:pPr>
              <w:jc w:val="both"/>
              <w:rPr>
                <w:color w:val="000000"/>
                <w:sz w:val="20"/>
                <w:szCs w:val="20"/>
              </w:rPr>
            </w:pPr>
            <w:r w:rsidRPr="005348BE">
              <w:rPr>
                <w:color w:val="000000"/>
                <w:sz w:val="20"/>
                <w:szCs w:val="20"/>
              </w:rPr>
              <w:t xml:space="preserve">Nombre de la persona sustituta: </w:t>
            </w:r>
          </w:p>
        </w:tc>
      </w:tr>
      <w:tr w:rsidR="00947F86" w:rsidTr="00146992">
        <w:trPr>
          <w:jc w:val="center"/>
        </w:trPr>
        <w:tc>
          <w:tcPr>
            <w:tcW w:w="5000" w:type="pct"/>
            <w:gridSpan w:val="6"/>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3.-</w:t>
            </w:r>
          </w:p>
          <w:p w:rsidR="00947F86" w:rsidRPr="005348BE" w:rsidRDefault="00947F86" w:rsidP="00146992">
            <w:pPr>
              <w:jc w:val="both"/>
              <w:rPr>
                <w:color w:val="000000"/>
                <w:sz w:val="20"/>
                <w:szCs w:val="20"/>
              </w:rPr>
            </w:pPr>
            <w:r w:rsidRPr="005348BE">
              <w:rPr>
                <w:color w:val="000000"/>
                <w:sz w:val="20"/>
                <w:szCs w:val="20"/>
              </w:rPr>
              <w:t xml:space="preserve">Código de Oficina: </w:t>
            </w:r>
          </w:p>
        </w:tc>
      </w:tr>
      <w:tr w:rsidR="00947F86" w:rsidTr="00146992">
        <w:trPr>
          <w:jc w:val="center"/>
        </w:trPr>
        <w:tc>
          <w:tcPr>
            <w:tcW w:w="5000" w:type="pct"/>
            <w:gridSpan w:val="6"/>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4.-</w:t>
            </w:r>
          </w:p>
          <w:p w:rsidR="00947F86" w:rsidRPr="005348BE" w:rsidRDefault="00947F86" w:rsidP="00146992">
            <w:pPr>
              <w:jc w:val="both"/>
              <w:rPr>
                <w:color w:val="000000"/>
                <w:sz w:val="20"/>
                <w:szCs w:val="20"/>
              </w:rPr>
            </w:pPr>
            <w:r w:rsidRPr="005348BE">
              <w:rPr>
                <w:color w:val="000000"/>
                <w:sz w:val="20"/>
                <w:szCs w:val="20"/>
              </w:rPr>
              <w:t xml:space="preserve">Nombre de la oficina o despacho judicial: </w:t>
            </w:r>
          </w:p>
        </w:tc>
      </w:tr>
      <w:tr w:rsidR="00947F86" w:rsidTr="00146992">
        <w:trPr>
          <w:jc w:val="center"/>
        </w:trPr>
        <w:tc>
          <w:tcPr>
            <w:tcW w:w="5000" w:type="pct"/>
            <w:gridSpan w:val="6"/>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5.-</w:t>
            </w:r>
          </w:p>
          <w:p w:rsidR="00947F86" w:rsidRPr="005348BE" w:rsidRDefault="00947F86" w:rsidP="00146992">
            <w:pPr>
              <w:jc w:val="both"/>
              <w:rPr>
                <w:color w:val="000000"/>
                <w:sz w:val="20"/>
                <w:szCs w:val="20"/>
              </w:rPr>
            </w:pPr>
            <w:r w:rsidRPr="005348BE">
              <w:rPr>
                <w:color w:val="000000"/>
                <w:sz w:val="20"/>
                <w:szCs w:val="20"/>
              </w:rPr>
              <w:t xml:space="preserve">Fecha de inicio y término del período al que corresponde el informe de gestión: </w:t>
            </w:r>
          </w:p>
        </w:tc>
      </w:tr>
      <w:tr w:rsidR="00947F86" w:rsidTr="00146992">
        <w:trPr>
          <w:jc w:val="center"/>
        </w:trPr>
        <w:tc>
          <w:tcPr>
            <w:tcW w:w="5000" w:type="pct"/>
            <w:gridSpan w:val="6"/>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6.-</w:t>
            </w:r>
          </w:p>
          <w:p w:rsidR="00947F86" w:rsidRPr="005348BE" w:rsidRDefault="00947F86" w:rsidP="00146992">
            <w:pPr>
              <w:rPr>
                <w:color w:val="000000"/>
                <w:sz w:val="20"/>
                <w:szCs w:val="20"/>
              </w:rPr>
            </w:pPr>
            <w:r w:rsidRPr="005348BE">
              <w:rPr>
                <w:color w:val="000000"/>
                <w:sz w:val="20"/>
                <w:szCs w:val="20"/>
              </w:rPr>
              <w:t xml:space="preserve">Motivo de cese del nombramiento: </w:t>
            </w:r>
          </w:p>
        </w:tc>
      </w:tr>
      <w:tr w:rsidR="00947F86" w:rsidTr="00146992">
        <w:trPr>
          <w:jc w:val="center"/>
        </w:trPr>
        <w:tc>
          <w:tcPr>
            <w:tcW w:w="934"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7.-</w:t>
            </w:r>
          </w:p>
          <w:p w:rsidR="00947F86" w:rsidRPr="005348BE" w:rsidRDefault="00947F86" w:rsidP="00146992">
            <w:pPr>
              <w:jc w:val="both"/>
              <w:rPr>
                <w:color w:val="000000"/>
                <w:sz w:val="20"/>
                <w:szCs w:val="20"/>
              </w:rPr>
            </w:pPr>
            <w:r w:rsidRPr="005348BE">
              <w:rPr>
                <w:color w:val="000000"/>
                <w:sz w:val="20"/>
                <w:szCs w:val="20"/>
              </w:rPr>
              <w:t xml:space="preserve">Nº Único de los casos asignados según ámbito </w:t>
            </w:r>
            <w:r w:rsidRPr="005348BE">
              <w:rPr>
                <w:b/>
                <w:bCs/>
                <w:color w:val="000000"/>
                <w:sz w:val="20"/>
                <w:szCs w:val="20"/>
              </w:rPr>
              <w:t>(1)</w:t>
            </w:r>
            <w:r w:rsidRPr="005348BE">
              <w:rPr>
                <w:color w:val="000000"/>
                <w:sz w:val="20"/>
                <w:szCs w:val="20"/>
              </w:rPr>
              <w:t xml:space="preserve"> </w:t>
            </w:r>
          </w:p>
        </w:tc>
        <w:tc>
          <w:tcPr>
            <w:tcW w:w="6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8.-</w:t>
            </w:r>
          </w:p>
          <w:p w:rsidR="00947F86" w:rsidRPr="005348BE" w:rsidRDefault="00947F86" w:rsidP="00146992">
            <w:pPr>
              <w:jc w:val="both"/>
              <w:rPr>
                <w:color w:val="000000"/>
                <w:sz w:val="20"/>
                <w:szCs w:val="20"/>
              </w:rPr>
            </w:pPr>
            <w:r w:rsidRPr="005348BE">
              <w:rPr>
                <w:color w:val="000000"/>
                <w:sz w:val="20"/>
                <w:szCs w:val="20"/>
              </w:rPr>
              <w:t xml:space="preserve">Materia y Tipo de asunto </w:t>
            </w:r>
          </w:p>
        </w:tc>
        <w:tc>
          <w:tcPr>
            <w:tcW w:w="758"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9.-</w:t>
            </w:r>
          </w:p>
          <w:p w:rsidR="00947F86" w:rsidRPr="005348BE" w:rsidRDefault="00947F86" w:rsidP="00146992">
            <w:pPr>
              <w:jc w:val="both"/>
              <w:rPr>
                <w:color w:val="000000"/>
                <w:sz w:val="20"/>
                <w:szCs w:val="20"/>
              </w:rPr>
            </w:pPr>
            <w:r w:rsidRPr="005348BE">
              <w:rPr>
                <w:color w:val="000000"/>
                <w:sz w:val="20"/>
                <w:szCs w:val="20"/>
              </w:rPr>
              <w:t xml:space="preserve">Estado de los casos asignados al finalizar la suplencia </w:t>
            </w:r>
            <w:r w:rsidRPr="005348BE">
              <w:rPr>
                <w:b/>
                <w:bCs/>
                <w:color w:val="000000"/>
                <w:sz w:val="20"/>
                <w:szCs w:val="20"/>
              </w:rPr>
              <w:t>(2)</w:t>
            </w:r>
            <w:r w:rsidRPr="005348BE">
              <w:rPr>
                <w:color w:val="000000"/>
                <w:sz w:val="20"/>
                <w:szCs w:val="20"/>
              </w:rPr>
              <w:t xml:space="preserve"> </w:t>
            </w:r>
          </w:p>
        </w:tc>
        <w:tc>
          <w:tcPr>
            <w:tcW w:w="73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10.-</w:t>
            </w:r>
          </w:p>
          <w:p w:rsidR="00947F86" w:rsidRPr="005348BE" w:rsidRDefault="00947F86" w:rsidP="00146992">
            <w:pPr>
              <w:jc w:val="both"/>
              <w:rPr>
                <w:color w:val="000000"/>
                <w:sz w:val="20"/>
                <w:szCs w:val="20"/>
              </w:rPr>
            </w:pPr>
            <w:r w:rsidRPr="005348BE">
              <w:rPr>
                <w:color w:val="000000"/>
                <w:sz w:val="20"/>
                <w:szCs w:val="20"/>
              </w:rPr>
              <w:t xml:space="preserve">Trámite realizado </w:t>
            </w:r>
            <w:r w:rsidRPr="005348BE">
              <w:rPr>
                <w:b/>
                <w:bCs/>
                <w:color w:val="000000"/>
                <w:sz w:val="20"/>
                <w:szCs w:val="20"/>
              </w:rPr>
              <w:t>(3)</w:t>
            </w:r>
            <w:r w:rsidRPr="005348BE">
              <w:rPr>
                <w:color w:val="000000"/>
                <w:sz w:val="20"/>
                <w:szCs w:val="20"/>
              </w:rPr>
              <w:t xml:space="preserve"> </w:t>
            </w:r>
          </w:p>
        </w:tc>
        <w:tc>
          <w:tcPr>
            <w:tcW w:w="73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11.-</w:t>
            </w:r>
          </w:p>
          <w:p w:rsidR="00947F86" w:rsidRPr="005348BE" w:rsidRDefault="00947F86" w:rsidP="00146992">
            <w:pPr>
              <w:jc w:val="both"/>
              <w:rPr>
                <w:color w:val="000000"/>
                <w:sz w:val="20"/>
                <w:szCs w:val="20"/>
              </w:rPr>
            </w:pPr>
            <w:r w:rsidRPr="005348BE">
              <w:rPr>
                <w:color w:val="000000"/>
                <w:sz w:val="20"/>
                <w:szCs w:val="20"/>
              </w:rPr>
              <w:t xml:space="preserve">Motivo de término de los casos salidos </w:t>
            </w:r>
          </w:p>
        </w:tc>
        <w:tc>
          <w:tcPr>
            <w:tcW w:w="1193"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napToGrid w:val="0"/>
              <w:jc w:val="both"/>
              <w:rPr>
                <w:b/>
                <w:bCs/>
                <w:color w:val="000000"/>
              </w:rPr>
            </w:pPr>
            <w:r>
              <w:rPr>
                <w:b/>
                <w:bCs/>
                <w:color w:val="000000"/>
              </w:rPr>
              <w:t>12.-</w:t>
            </w:r>
          </w:p>
          <w:p w:rsidR="00947F86" w:rsidRPr="005348BE" w:rsidRDefault="00947F86" w:rsidP="00146992">
            <w:pPr>
              <w:jc w:val="both"/>
              <w:rPr>
                <w:color w:val="000000"/>
                <w:sz w:val="20"/>
                <w:szCs w:val="20"/>
              </w:rPr>
            </w:pPr>
            <w:r w:rsidRPr="005348BE">
              <w:rPr>
                <w:color w:val="000000"/>
                <w:sz w:val="20"/>
                <w:szCs w:val="20"/>
              </w:rPr>
              <w:t xml:space="preserve">Observaciones </w:t>
            </w:r>
          </w:p>
        </w:tc>
      </w:tr>
      <w:tr w:rsidR="00947F86" w:rsidTr="00146992">
        <w:trPr>
          <w:jc w:val="center"/>
        </w:trPr>
        <w:tc>
          <w:tcPr>
            <w:tcW w:w="934"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6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758"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73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73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1193"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934"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641"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758"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735"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739"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c>
          <w:tcPr>
            <w:tcW w:w="1193"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7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r>
      <w:tr w:rsidR="00947F86" w:rsidTr="00146992">
        <w:trPr>
          <w:jc w:val="center"/>
        </w:trPr>
        <w:tc>
          <w:tcPr>
            <w:tcW w:w="93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6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7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7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c>
          <w:tcPr>
            <w:tcW w:w="11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47F86" w:rsidRDefault="00947F86" w:rsidP="00146992">
            <w:pPr>
              <w:spacing w:before="100" w:beforeAutospacing="1" w:after="100" w:afterAutospacing="1"/>
              <w:rPr>
                <w:color w:val="000000"/>
                <w:sz w:val="14"/>
                <w:szCs w:val="14"/>
              </w:rPr>
            </w:pPr>
          </w:p>
        </w:tc>
      </w:tr>
    </w:tbl>
    <w:p w:rsidR="00947F86" w:rsidRDefault="00947F86" w:rsidP="00947F86">
      <w:pPr>
        <w:pStyle w:val="Textoindependiente"/>
        <w:jc w:val="both"/>
        <w:rPr>
          <w:b/>
          <w:bCs/>
          <w:i/>
          <w:iCs/>
        </w:rPr>
      </w:pPr>
    </w:p>
    <w:p w:rsidR="00947F86" w:rsidRDefault="00947F86" w:rsidP="00947F86">
      <w:pPr>
        <w:pStyle w:val="Textoindependiente"/>
        <w:ind w:firstLine="709"/>
        <w:jc w:val="both"/>
        <w:rPr>
          <w:lang w:val="es-ES"/>
        </w:rPr>
      </w:pPr>
      <w:r>
        <w:rPr>
          <w:b/>
          <w:bCs/>
          <w:i/>
          <w:iCs/>
        </w:rPr>
        <w:t>NOTAS:</w:t>
      </w:r>
      <w:r>
        <w:rPr>
          <w:i/>
          <w:iCs/>
          <w:lang w:val="es-ES"/>
        </w:rPr>
        <w:t xml:space="preserve"> </w:t>
      </w:r>
      <w:r>
        <w:rPr>
          <w:b/>
          <w:bCs/>
          <w:i/>
          <w:iCs/>
        </w:rPr>
        <w:t>(1)</w:t>
      </w:r>
      <w:r>
        <w:rPr>
          <w:i/>
          <w:iCs/>
        </w:rPr>
        <w:t xml:space="preserve"> En los asuntos administrativos, se refiere al N° consecutivo con que identifican los temas asignados en la oficina. </w:t>
      </w:r>
      <w:r>
        <w:rPr>
          <w:b/>
          <w:bCs/>
          <w:i/>
          <w:iCs/>
        </w:rPr>
        <w:t>(2)</w:t>
      </w:r>
      <w:r>
        <w:rPr>
          <w:i/>
          <w:iCs/>
        </w:rPr>
        <w:t xml:space="preserve"> En esta casilla se debe indicar la etapa procesal en que se encuentra el expediente, de acuerdo con la materia que se tramita. En los casos administrativos consiste en identificar en qué fase se encuentra el asunto (inicio, intermedio o final). </w:t>
      </w:r>
      <w:r>
        <w:rPr>
          <w:b/>
          <w:bCs/>
          <w:i/>
          <w:iCs/>
        </w:rPr>
        <w:t>(3)</w:t>
      </w:r>
      <w:r>
        <w:rPr>
          <w:i/>
          <w:iCs/>
        </w:rPr>
        <w:t xml:space="preserve"> Debe consignarse el trámite realizado según el ámbito al que corresponda; por ejemplo en el caso de las oficinas jurisdiccionales indicar: providencias, autos, sentencias o audiencias realizadas, entre otros; en lo concerniente al ámbito administrativo, debe consignar la labor realizada en forma resumida. </w:t>
      </w:r>
    </w:p>
    <w:p w:rsidR="00947F86" w:rsidRDefault="00947F86" w:rsidP="00947F86">
      <w:pPr>
        <w:pStyle w:val="Textoindependiente"/>
        <w:ind w:firstLine="709"/>
        <w:jc w:val="both"/>
        <w:rPr>
          <w:lang w:val="es-ES"/>
        </w:rPr>
      </w:pPr>
      <w:r>
        <w:rPr>
          <w:b/>
          <w:bCs/>
          <w:i/>
          <w:iCs/>
        </w:rPr>
        <w:t>En caso de requerir ampliar la información, puede indicar lo que considere necesario, en hojas adicionales a este reporte de labores efectuadas durante la suplencia.</w:t>
      </w:r>
      <w:r>
        <w:rPr>
          <w:lang w:val="es-ES"/>
        </w:rPr>
        <w:t xml:space="preserve"> </w:t>
      </w:r>
    </w:p>
    <w:p w:rsidR="00947F86" w:rsidRDefault="00947F86" w:rsidP="00947F86">
      <w:pPr>
        <w:pStyle w:val="Textoindependiente"/>
        <w:ind w:firstLine="709"/>
        <w:jc w:val="both"/>
        <w:rPr>
          <w:lang w:val="es-ES"/>
        </w:rPr>
      </w:pPr>
      <w:r>
        <w:rPr>
          <w:b/>
          <w:bCs/>
          <w:i/>
          <w:iCs/>
        </w:rPr>
        <w:t xml:space="preserve">Si la persona sustituida corresponde a </w:t>
      </w:r>
      <w:smartTag w:uri="urn:schemas-microsoft-com:office:smarttags" w:element="PersonName">
        <w:smartTagPr>
          <w:attr w:name="tabIndex" w:val="0"/>
          <w:attr w:name="style" w:val="BACKGROUND-IMAGE: url(res://ietag.dll/#34/#1001); BACKGROUND-REPEAT: repeat-x; BACKGROUND-POSITION: left bottom"/>
          <w:attr w:name="ProductID" w:val="la Jefatura"/>
        </w:smartTagPr>
        <w:r>
          <w:rPr>
            <w:b/>
            <w:bCs/>
            <w:i/>
            <w:iCs/>
          </w:rPr>
          <w:t>la Jefatura</w:t>
        </w:r>
      </w:smartTag>
      <w:r>
        <w:rPr>
          <w:b/>
          <w:bCs/>
          <w:i/>
          <w:iCs/>
        </w:rPr>
        <w:t xml:space="preserve"> o al titular subordinado, quien recibe el informe será la servidora o servidor de mayor categoría de puesto en el despacho.</w:t>
      </w:r>
      <w:r>
        <w:rPr>
          <w:lang w:val="es-ES"/>
        </w:rPr>
        <w:t xml:space="preserve"> </w:t>
      </w:r>
    </w:p>
    <w:p w:rsidR="00947F86" w:rsidRDefault="00947F86" w:rsidP="00947F86">
      <w:pPr>
        <w:pStyle w:val="Textoindependiente"/>
        <w:jc w:val="both"/>
        <w:rPr>
          <w:lang w:val="es-ES"/>
        </w:rPr>
      </w:pPr>
    </w:p>
    <w:p w:rsidR="00947F86" w:rsidRDefault="00947F86" w:rsidP="00947F86">
      <w:pPr>
        <w:pStyle w:val="Textoindependiente"/>
        <w:jc w:val="center"/>
        <w:rPr>
          <w:lang w:val="es-ES"/>
        </w:rPr>
      </w:pPr>
      <w:r>
        <w:rPr>
          <w:b/>
          <w:bCs/>
          <w:u w:val="single"/>
        </w:rPr>
        <w:t xml:space="preserve">Sello de </w:t>
      </w:r>
      <w:smartTag w:uri="urn:schemas-microsoft-com:office:smarttags" w:element="PersonName">
        <w:smartTagPr>
          <w:attr w:name="tabIndex" w:val="0"/>
          <w:attr w:name="style" w:val="BACKGROUND-IMAGE: url(res://ietag.dll/#34/#1001); BACKGROUND-REPEAT: repeat-x; BACKGROUND-POSITION: left bottom"/>
          <w:attr w:name="ProductID" w:val="la Oficina"/>
        </w:smartTagPr>
        <w:r>
          <w:rPr>
            <w:b/>
            <w:bCs/>
            <w:u w:val="single"/>
          </w:rPr>
          <w:t>la Oficina</w:t>
        </w:r>
      </w:smartTag>
      <w:r>
        <w:rPr>
          <w:lang w:val="es-ES"/>
        </w:rPr>
        <w:t xml:space="preserve"> </w:t>
      </w:r>
    </w:p>
    <w:p w:rsidR="00947F86" w:rsidRDefault="00947F86" w:rsidP="00947F86">
      <w:pPr>
        <w:pStyle w:val="Textoindependiente"/>
        <w:jc w:val="center"/>
        <w:rPr>
          <w:lang w:val="es-ES"/>
        </w:rPr>
      </w:pPr>
      <w:r>
        <w:t>__________________________________________________________</w:t>
      </w:r>
      <w:r>
        <w:rPr>
          <w:lang w:val="es-ES"/>
        </w:rPr>
        <w:t xml:space="preserve"> </w:t>
      </w:r>
    </w:p>
    <w:p w:rsidR="00947F86" w:rsidRDefault="00947F86" w:rsidP="00947F86">
      <w:pPr>
        <w:pStyle w:val="Textoindependiente"/>
        <w:jc w:val="center"/>
        <w:rPr>
          <w:lang w:val="es-ES"/>
        </w:rPr>
      </w:pPr>
      <w:r>
        <w:t>Firma de servidora o servidor suplente</w:t>
      </w:r>
      <w:r>
        <w:rPr>
          <w:lang w:val="es-ES"/>
        </w:rPr>
        <w:t xml:space="preserve"> </w:t>
      </w:r>
    </w:p>
    <w:p w:rsidR="00947F86" w:rsidRDefault="00947F86" w:rsidP="00947F86">
      <w:pPr>
        <w:pStyle w:val="Textoindependiente"/>
        <w:jc w:val="center"/>
        <w:rPr>
          <w:lang w:val="es-ES"/>
        </w:rPr>
      </w:pPr>
      <w:r>
        <w:t>________________________________________________________________________</w:t>
      </w:r>
      <w:r>
        <w:rPr>
          <w:lang w:val="es-ES"/>
        </w:rPr>
        <w:t xml:space="preserve"> </w:t>
      </w:r>
    </w:p>
    <w:p w:rsidR="00947F86" w:rsidRDefault="00947F86" w:rsidP="00947F86">
      <w:pPr>
        <w:pStyle w:val="Textoindependiente"/>
        <w:jc w:val="center"/>
        <w:rPr>
          <w:lang w:val="es-ES"/>
        </w:rPr>
      </w:pPr>
      <w:r>
        <w:t>Firma de Servidora o Servidor (de mayor categoría de puesto en el despacho) que recibe el informe</w:t>
      </w:r>
      <w:r>
        <w:rPr>
          <w:lang w:val="es-ES"/>
        </w:rPr>
        <w:t xml:space="preserve"> </w:t>
      </w:r>
    </w:p>
    <w:p w:rsidR="00947F86" w:rsidRPr="008352F0" w:rsidRDefault="00947F86" w:rsidP="008352F0">
      <w:pPr>
        <w:widowControl/>
        <w:suppressAutoHyphens w:val="0"/>
        <w:spacing w:line="360" w:lineRule="auto"/>
        <w:ind w:firstLine="709"/>
        <w:jc w:val="both"/>
        <w:rPr>
          <w:rFonts w:eastAsia="Batang"/>
          <w:kern w:val="0"/>
          <w:lang w:val="es-ES" w:eastAsia="ko-KR"/>
        </w:rPr>
      </w:pPr>
    </w:p>
    <w:p w:rsidR="008352F0" w:rsidRPr="008352F0" w:rsidRDefault="008352F0" w:rsidP="008352F0">
      <w:pPr>
        <w:widowControl/>
        <w:suppressAutoHyphens w:val="0"/>
        <w:spacing w:line="360" w:lineRule="auto"/>
        <w:ind w:firstLine="709"/>
        <w:jc w:val="both"/>
        <w:rPr>
          <w:rFonts w:eastAsia="Batang"/>
          <w:kern w:val="0"/>
          <w:lang w:val="es-ES" w:eastAsia="ko-KR"/>
        </w:rPr>
      </w:pPr>
    </w:p>
    <w:p w:rsidR="008352F0" w:rsidRPr="008352F0" w:rsidRDefault="008352F0" w:rsidP="008352F0">
      <w:pPr>
        <w:widowControl/>
        <w:suppressAutoHyphens w:val="0"/>
        <w:spacing w:line="360" w:lineRule="auto"/>
        <w:ind w:firstLine="567"/>
        <w:jc w:val="both"/>
        <w:rPr>
          <w:rFonts w:eastAsia="Batang"/>
          <w:kern w:val="0"/>
          <w:lang w:val="es-ES" w:eastAsia="ko-KR"/>
        </w:rPr>
      </w:pPr>
      <w:r w:rsidRPr="008352F0">
        <w:rPr>
          <w:rFonts w:eastAsia="Batang"/>
          <w:b/>
          <w:bCs/>
          <w:kern w:val="0"/>
          <w:lang w:eastAsia="ko-KR"/>
        </w:rPr>
        <w:t xml:space="preserve">San José, </w:t>
      </w:r>
      <w:r w:rsidR="00947F86">
        <w:rPr>
          <w:rFonts w:eastAsia="Batang"/>
          <w:b/>
          <w:bCs/>
          <w:kern w:val="0"/>
          <w:lang w:eastAsia="ko-KR"/>
        </w:rPr>
        <w:t>26 de abril de 2019</w:t>
      </w:r>
      <w:r w:rsidRPr="008352F0">
        <w:rPr>
          <w:rFonts w:eastAsia="Batang"/>
          <w:b/>
          <w:bCs/>
          <w:kern w:val="0"/>
          <w:lang w:eastAsia="ko-KR"/>
        </w:rPr>
        <w:t xml:space="preserve"> </w:t>
      </w:r>
    </w:p>
    <w:p w:rsidR="008352F0" w:rsidRPr="008352F0" w:rsidRDefault="008352F0" w:rsidP="008352F0">
      <w:pPr>
        <w:widowControl/>
        <w:suppressAutoHyphens w:val="0"/>
        <w:ind w:firstLine="567"/>
        <w:rPr>
          <w:rFonts w:eastAsia="Batang"/>
          <w:kern w:val="0"/>
          <w:lang w:val="es-ES" w:eastAsia="ko-KR"/>
        </w:rPr>
      </w:pPr>
      <w:r w:rsidRPr="008352F0">
        <w:rPr>
          <w:rFonts w:eastAsia="Batang"/>
          <w:kern w:val="0"/>
          <w:lang w:val="es-ES" w:eastAsia="ko-KR"/>
        </w:rPr>
        <w:t> </w:t>
      </w:r>
    </w:p>
    <w:p w:rsidR="008352F0" w:rsidRPr="008352F0" w:rsidRDefault="008352F0" w:rsidP="008352F0">
      <w:pPr>
        <w:widowControl/>
        <w:suppressAutoHyphens w:val="0"/>
        <w:ind w:firstLine="567"/>
        <w:jc w:val="center"/>
        <w:rPr>
          <w:rFonts w:eastAsia="Batang"/>
          <w:kern w:val="0"/>
          <w:lang w:val="es-ES" w:eastAsia="ko-KR"/>
        </w:rPr>
      </w:pPr>
      <w:r w:rsidRPr="008352F0">
        <w:rPr>
          <w:rFonts w:eastAsia="Batang"/>
          <w:b/>
          <w:bCs/>
          <w:kern w:val="0"/>
          <w:lang w:val="es-ES" w:eastAsia="ko-KR"/>
        </w:rPr>
        <w:t> </w:t>
      </w:r>
    </w:p>
    <w:p w:rsidR="008352F0" w:rsidRPr="008352F0" w:rsidRDefault="008352F0" w:rsidP="008352F0">
      <w:pPr>
        <w:widowControl/>
        <w:suppressAutoHyphens w:val="0"/>
        <w:ind w:firstLine="567"/>
        <w:jc w:val="center"/>
        <w:rPr>
          <w:rFonts w:eastAsia="Batang"/>
          <w:kern w:val="0"/>
          <w:lang w:val="es-ES" w:eastAsia="ko-KR"/>
        </w:rPr>
      </w:pPr>
      <w:r w:rsidRPr="008352F0">
        <w:rPr>
          <w:rFonts w:eastAsia="Batang"/>
          <w:b/>
          <w:bCs/>
          <w:kern w:val="0"/>
          <w:lang w:val="es-ES" w:eastAsia="ko-KR"/>
        </w:rPr>
        <w:t> </w:t>
      </w:r>
    </w:p>
    <w:p w:rsidR="008352F0" w:rsidRPr="008352F0" w:rsidRDefault="008352F0" w:rsidP="008352F0">
      <w:pPr>
        <w:widowControl/>
        <w:suppressAutoHyphens w:val="0"/>
        <w:ind w:firstLine="567"/>
        <w:jc w:val="center"/>
        <w:rPr>
          <w:rFonts w:eastAsia="Batang"/>
          <w:kern w:val="0"/>
          <w:lang w:val="pt-BR" w:eastAsia="ko-KR"/>
        </w:rPr>
      </w:pPr>
      <w:r w:rsidRPr="008352F0">
        <w:rPr>
          <w:rFonts w:eastAsia="Batang"/>
          <w:b/>
          <w:bCs/>
          <w:kern w:val="0"/>
          <w:lang w:val="pt-BR" w:eastAsia="ko-KR"/>
        </w:rPr>
        <w:t>Lic</w:t>
      </w:r>
      <w:r w:rsidR="00947F86">
        <w:rPr>
          <w:rFonts w:eastAsia="Batang"/>
          <w:b/>
          <w:bCs/>
          <w:kern w:val="0"/>
          <w:lang w:val="pt-BR" w:eastAsia="ko-KR"/>
        </w:rPr>
        <w:t>. Carlos T. Mora Rodríguez</w:t>
      </w:r>
    </w:p>
    <w:p w:rsidR="008352F0" w:rsidRPr="008352F0" w:rsidRDefault="00947F86" w:rsidP="008352F0">
      <w:pPr>
        <w:widowControl/>
        <w:suppressAutoHyphens w:val="0"/>
        <w:ind w:firstLine="567"/>
        <w:jc w:val="center"/>
        <w:rPr>
          <w:rFonts w:eastAsia="Batang"/>
          <w:kern w:val="0"/>
          <w:lang w:val="pt-BR" w:eastAsia="ko-KR"/>
        </w:rPr>
      </w:pPr>
      <w:r>
        <w:rPr>
          <w:rFonts w:eastAsia="Batang"/>
          <w:b/>
          <w:bCs/>
          <w:kern w:val="0"/>
          <w:lang w:val="pt-BR" w:eastAsia="ko-KR"/>
        </w:rPr>
        <w:t>Subsecretario</w:t>
      </w:r>
      <w:r w:rsidR="008352F0" w:rsidRPr="008352F0">
        <w:rPr>
          <w:rFonts w:eastAsia="Batang"/>
          <w:b/>
          <w:bCs/>
          <w:kern w:val="0"/>
          <w:lang w:val="pt-BR" w:eastAsia="ko-KR"/>
        </w:rPr>
        <w:t xml:space="preserve"> General </w:t>
      </w:r>
      <w:r>
        <w:rPr>
          <w:rFonts w:eastAsia="Batang"/>
          <w:b/>
          <w:bCs/>
          <w:kern w:val="0"/>
          <w:lang w:val="pt-BR" w:eastAsia="ko-KR"/>
        </w:rPr>
        <w:t>interino</w:t>
      </w:r>
    </w:p>
    <w:p w:rsidR="008352F0" w:rsidRPr="008352F0" w:rsidRDefault="008352F0" w:rsidP="008352F0">
      <w:pPr>
        <w:widowControl/>
        <w:suppressAutoHyphens w:val="0"/>
        <w:ind w:firstLine="567"/>
        <w:jc w:val="center"/>
        <w:rPr>
          <w:rFonts w:eastAsia="Batang"/>
          <w:kern w:val="0"/>
          <w:lang w:val="pt-BR" w:eastAsia="ko-KR"/>
        </w:rPr>
      </w:pPr>
      <w:r w:rsidRPr="008352F0">
        <w:rPr>
          <w:rFonts w:eastAsia="Batang"/>
          <w:b/>
          <w:bCs/>
          <w:kern w:val="0"/>
          <w:lang w:val="pt-BR" w:eastAsia="ko-KR"/>
        </w:rPr>
        <w:t>Corte Suprema de Justicia</w:t>
      </w:r>
    </w:p>
    <w:p w:rsidR="008352F0" w:rsidRPr="008352F0" w:rsidRDefault="008352F0" w:rsidP="008352F0">
      <w:pPr>
        <w:widowControl/>
        <w:suppressAutoHyphens w:val="0"/>
        <w:ind w:firstLine="567"/>
        <w:jc w:val="center"/>
        <w:rPr>
          <w:rFonts w:eastAsia="Batang"/>
          <w:kern w:val="0"/>
          <w:lang w:val="pt-BR" w:eastAsia="ko-KR"/>
        </w:rPr>
      </w:pPr>
      <w:r w:rsidRPr="008352F0">
        <w:rPr>
          <w:rFonts w:eastAsia="Batang"/>
          <w:b/>
          <w:bCs/>
          <w:kern w:val="0"/>
          <w:lang w:val="pt-BR" w:eastAsia="ko-KR"/>
        </w:rPr>
        <w:t> </w:t>
      </w:r>
    </w:p>
    <w:p w:rsidR="008352F0" w:rsidRPr="008352F0" w:rsidRDefault="008352F0" w:rsidP="008352F0">
      <w:pPr>
        <w:widowControl/>
        <w:suppressAutoHyphens w:val="0"/>
        <w:ind w:firstLine="567"/>
        <w:rPr>
          <w:rFonts w:eastAsia="Batang"/>
          <w:kern w:val="0"/>
          <w:lang w:val="pt-BR" w:eastAsia="ko-KR"/>
        </w:rPr>
      </w:pPr>
      <w:r w:rsidRPr="008352F0">
        <w:rPr>
          <w:rFonts w:eastAsia="Batang"/>
          <w:kern w:val="0"/>
          <w:lang w:val="pt-BR" w:eastAsia="ko-KR"/>
        </w:rPr>
        <w:t> </w:t>
      </w:r>
    </w:p>
    <w:p w:rsidR="008352F0" w:rsidRPr="008352F0" w:rsidRDefault="008352F0" w:rsidP="008352F0">
      <w:pPr>
        <w:widowControl/>
        <w:suppressAutoHyphens w:val="0"/>
        <w:ind w:firstLine="567"/>
        <w:rPr>
          <w:rFonts w:eastAsia="Batang"/>
          <w:kern w:val="0"/>
          <w:lang w:val="pt-BR" w:eastAsia="ko-KR"/>
        </w:rPr>
      </w:pPr>
      <w:r w:rsidRPr="008352F0">
        <w:rPr>
          <w:rFonts w:eastAsia="Batang"/>
          <w:i/>
          <w:iCs/>
          <w:kern w:val="0"/>
          <w:sz w:val="22"/>
          <w:szCs w:val="22"/>
          <w:lang w:val="pt-BR" w:eastAsia="ko-KR"/>
        </w:rPr>
        <w:t> </w:t>
      </w:r>
    </w:p>
    <w:p w:rsidR="008352F0" w:rsidRPr="008352F0" w:rsidRDefault="008352F0" w:rsidP="008352F0">
      <w:pPr>
        <w:widowControl/>
        <w:suppressAutoHyphens w:val="0"/>
        <w:ind w:firstLine="567"/>
        <w:rPr>
          <w:rFonts w:eastAsia="Batang"/>
          <w:kern w:val="0"/>
          <w:lang w:val="pt-BR" w:eastAsia="ko-KR"/>
        </w:rPr>
      </w:pPr>
      <w:r w:rsidRPr="008352F0">
        <w:rPr>
          <w:rFonts w:eastAsia="Batang"/>
          <w:i/>
          <w:iCs/>
          <w:kern w:val="0"/>
          <w:sz w:val="22"/>
          <w:szCs w:val="22"/>
          <w:lang w:val="pt-BR" w:eastAsia="ko-KR"/>
        </w:rPr>
        <w:t xml:space="preserve">Ref.: </w:t>
      </w:r>
      <w:r w:rsidR="00947F86" w:rsidRPr="00947F86">
        <w:rPr>
          <w:rFonts w:eastAsia="Batang"/>
          <w:i/>
          <w:iCs/>
          <w:kern w:val="0"/>
          <w:sz w:val="22"/>
          <w:szCs w:val="22"/>
          <w:lang w:val="pt-BR" w:eastAsia="ko-KR"/>
        </w:rPr>
        <w:t>2395-12 / 3686-19</w:t>
      </w:r>
    </w:p>
    <w:p w:rsidR="008352F0" w:rsidRPr="008352F0" w:rsidRDefault="00947F86" w:rsidP="008352F0">
      <w:pPr>
        <w:widowControl/>
        <w:suppressAutoHyphens w:val="0"/>
        <w:ind w:firstLine="567"/>
        <w:rPr>
          <w:rFonts w:eastAsia="Batang"/>
          <w:kern w:val="0"/>
          <w:lang w:val="es-ES" w:eastAsia="ko-KR"/>
        </w:rPr>
      </w:pPr>
      <w:r>
        <w:rPr>
          <w:rFonts w:eastAsia="Batang"/>
          <w:i/>
          <w:iCs/>
          <w:kern w:val="0"/>
          <w:sz w:val="22"/>
          <w:szCs w:val="22"/>
          <w:lang w:val="pt-BR" w:eastAsia="ko-KR"/>
        </w:rPr>
        <w:t>Melany Villalobos Granados</w:t>
      </w:r>
    </w:p>
    <w:p w:rsidR="009C29C0" w:rsidRPr="008352F0" w:rsidRDefault="009C29C0" w:rsidP="008352F0"/>
    <w:sectPr w:rsidR="009C29C0" w:rsidRPr="008352F0" w:rsidSect="00B804DF">
      <w:headerReference w:type="default" r:id="rId7"/>
      <w:footnotePr>
        <w:pos w:val="beneathText"/>
      </w:footnotePr>
      <w:pgSz w:w="12240" w:h="15840"/>
      <w:pgMar w:top="2268" w:right="1750" w:bottom="1276"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56C" w:rsidRDefault="002A056C">
      <w:r>
        <w:separator/>
      </w:r>
    </w:p>
  </w:endnote>
  <w:endnote w:type="continuationSeparator" w:id="0">
    <w:p w:rsidR="002A056C" w:rsidRDefault="002A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56C" w:rsidRDefault="002A056C">
      <w:r>
        <w:separator/>
      </w:r>
    </w:p>
  </w:footnote>
  <w:footnote w:type="continuationSeparator" w:id="0">
    <w:p w:rsidR="002A056C" w:rsidRDefault="002A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CFE" w:rsidRDefault="00CB7CFD">
    <w:pPr>
      <w:pStyle w:val="Encabezado"/>
      <w:tabs>
        <w:tab w:val="clear" w:pos="4986"/>
        <w:tab w:val="clear" w:pos="9972"/>
        <w:tab w:val="left" w:pos="709"/>
        <w:tab w:val="center" w:pos="4419"/>
        <w:tab w:val="right" w:pos="8838"/>
      </w:tabs>
      <w:rPr>
        <w:lang/>
      </w:rPr>
    </w:pPr>
    <w:r>
      <w:rPr>
        <w:noProof/>
      </w:rPr>
      <mc:AlternateContent>
        <mc:Choice Requires="wps">
          <w:drawing>
            <wp:anchor distT="0" distB="0" distL="114935" distR="114935" simplePos="0" relativeHeight="251657728" behindDoc="1" locked="0" layoutInCell="1" allowOverlap="1">
              <wp:simplePos x="0" y="0"/>
              <wp:positionH relativeFrom="column">
                <wp:posOffset>0</wp:posOffset>
              </wp:positionH>
              <wp:positionV relativeFrom="paragraph">
                <wp:posOffset>-6985</wp:posOffset>
              </wp:positionV>
              <wp:extent cx="662940" cy="745490"/>
              <wp:effectExtent l="0" t="254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745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CFE" w:rsidRDefault="00CB7CFD">
                          <w:r>
                            <w:rPr>
                              <w:noProof/>
                            </w:rPr>
                            <w:drawing>
                              <wp:inline distT="0" distB="0" distL="0" distR="0">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5pt;width:52.2pt;height:58.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" stroked="f">
              <v:textbox inset="0,0,0,0">
                <w:txbxContent>
                  <w:p w:rsidR="00D44CFE" w:rsidRDefault="00CB7CFD">
                    <w:r>
                      <w:rPr>
                        <w:noProof/>
                      </w:rPr>
                      <w:drawing>
                        <wp:inline distT="0" distB="0" distL="0" distR="0">
                          <wp:extent cx="676275" cy="762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solidFill>
                                    <a:srgbClr val="FFFFFF"/>
                                  </a:solidFill>
                                  <a:ln>
                                    <a:noFill/>
                                  </a:ln>
                                </pic:spPr>
                              </pic:pic>
                            </a:graphicData>
                          </a:graphic>
                        </wp:inline>
                      </w:drawing>
                    </w:r>
                  </w:p>
                </w:txbxContent>
              </v:textbox>
            </v:shape>
          </w:pict>
        </mc:Fallback>
      </mc:AlternateContent>
    </w:r>
  </w:p>
  <w:p w:rsidR="00D44CFE" w:rsidRDefault="00D44CFE">
    <w:pPr>
      <w:pStyle w:val="Encabezado"/>
      <w:tabs>
        <w:tab w:val="clear" w:pos="4986"/>
        <w:tab w:val="clear" w:pos="9972"/>
        <w:tab w:val="left" w:pos="709"/>
        <w:tab w:val="center" w:pos="4419"/>
        <w:tab w:val="right" w:pos="8838"/>
      </w:tabs>
      <w:rPr>
        <w:b/>
        <w:i/>
        <w:lang w:val="es-CR"/>
      </w:rPr>
    </w:pPr>
    <w:r>
      <w:t xml:space="preserve">                      </w:t>
    </w:r>
    <w:r>
      <w:rPr>
        <w:b/>
        <w:i/>
        <w:lang w:val="es-CR"/>
      </w:rPr>
      <w:t>Corte Suprema de Justicia</w:t>
    </w:r>
  </w:p>
  <w:p w:rsidR="00D44CFE" w:rsidRDefault="00D44CFE">
    <w:pPr>
      <w:rPr>
        <w:b/>
        <w:bCs/>
        <w:i/>
        <w:iCs/>
      </w:rPr>
    </w:pPr>
    <w:r>
      <w:rPr>
        <w:b/>
        <w:bCs/>
        <w:i/>
        <w:iCs/>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724E"/>
    <w:multiLevelType w:val="hybridMultilevel"/>
    <w:tmpl w:val="D0422C7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E3F7358"/>
    <w:multiLevelType w:val="hybridMultilevel"/>
    <w:tmpl w:val="8C9A728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F1"/>
    <w:rsid w:val="00005DBB"/>
    <w:rsid w:val="00010D3D"/>
    <w:rsid w:val="000405C8"/>
    <w:rsid w:val="00045081"/>
    <w:rsid w:val="00047F88"/>
    <w:rsid w:val="00064E7C"/>
    <w:rsid w:val="000702C6"/>
    <w:rsid w:val="0007249A"/>
    <w:rsid w:val="000913E8"/>
    <w:rsid w:val="0009588A"/>
    <w:rsid w:val="000A240D"/>
    <w:rsid w:val="000B628E"/>
    <w:rsid w:val="000C1E97"/>
    <w:rsid w:val="000C4BB9"/>
    <w:rsid w:val="000C7EEA"/>
    <w:rsid w:val="000E11E3"/>
    <w:rsid w:val="000E70A7"/>
    <w:rsid w:val="000F1BD9"/>
    <w:rsid w:val="000F55FD"/>
    <w:rsid w:val="0013147D"/>
    <w:rsid w:val="00136BD6"/>
    <w:rsid w:val="00146992"/>
    <w:rsid w:val="00146DF3"/>
    <w:rsid w:val="001479B9"/>
    <w:rsid w:val="00157B3C"/>
    <w:rsid w:val="00162DE0"/>
    <w:rsid w:val="0016722E"/>
    <w:rsid w:val="00167459"/>
    <w:rsid w:val="00167DC6"/>
    <w:rsid w:val="0018089D"/>
    <w:rsid w:val="001839FC"/>
    <w:rsid w:val="0018797B"/>
    <w:rsid w:val="00190C63"/>
    <w:rsid w:val="001A0FAC"/>
    <w:rsid w:val="001A52C9"/>
    <w:rsid w:val="001B1476"/>
    <w:rsid w:val="001C044B"/>
    <w:rsid w:val="001C0973"/>
    <w:rsid w:val="001D2DC4"/>
    <w:rsid w:val="001D7814"/>
    <w:rsid w:val="001E26DA"/>
    <w:rsid w:val="001E4215"/>
    <w:rsid w:val="001E657B"/>
    <w:rsid w:val="001F1B22"/>
    <w:rsid w:val="00204912"/>
    <w:rsid w:val="002131FA"/>
    <w:rsid w:val="00214880"/>
    <w:rsid w:val="00224481"/>
    <w:rsid w:val="002359A4"/>
    <w:rsid w:val="002404AE"/>
    <w:rsid w:val="0024558D"/>
    <w:rsid w:val="00246CE0"/>
    <w:rsid w:val="002538FF"/>
    <w:rsid w:val="00254CF0"/>
    <w:rsid w:val="0025527E"/>
    <w:rsid w:val="002634A2"/>
    <w:rsid w:val="00263914"/>
    <w:rsid w:val="00277268"/>
    <w:rsid w:val="00281F04"/>
    <w:rsid w:val="002825D7"/>
    <w:rsid w:val="002830CF"/>
    <w:rsid w:val="002853F4"/>
    <w:rsid w:val="002857DD"/>
    <w:rsid w:val="00287534"/>
    <w:rsid w:val="0029023D"/>
    <w:rsid w:val="00291407"/>
    <w:rsid w:val="0029304A"/>
    <w:rsid w:val="002930C2"/>
    <w:rsid w:val="002A056C"/>
    <w:rsid w:val="002A3B0D"/>
    <w:rsid w:val="002A5B52"/>
    <w:rsid w:val="002B0955"/>
    <w:rsid w:val="002B2838"/>
    <w:rsid w:val="002B4CE4"/>
    <w:rsid w:val="002C23C5"/>
    <w:rsid w:val="002C4203"/>
    <w:rsid w:val="002C7C70"/>
    <w:rsid w:val="002E2530"/>
    <w:rsid w:val="002F288C"/>
    <w:rsid w:val="002F63B8"/>
    <w:rsid w:val="002F7A6A"/>
    <w:rsid w:val="00301ADF"/>
    <w:rsid w:val="00302877"/>
    <w:rsid w:val="00307884"/>
    <w:rsid w:val="003079AF"/>
    <w:rsid w:val="00311386"/>
    <w:rsid w:val="00315EC7"/>
    <w:rsid w:val="0032088B"/>
    <w:rsid w:val="00322B4B"/>
    <w:rsid w:val="0032712F"/>
    <w:rsid w:val="00334B72"/>
    <w:rsid w:val="00341C02"/>
    <w:rsid w:val="0034244E"/>
    <w:rsid w:val="00343803"/>
    <w:rsid w:val="00344BA5"/>
    <w:rsid w:val="0034790C"/>
    <w:rsid w:val="003559C4"/>
    <w:rsid w:val="003644B6"/>
    <w:rsid w:val="003678B3"/>
    <w:rsid w:val="00372F0E"/>
    <w:rsid w:val="0037610C"/>
    <w:rsid w:val="003769AA"/>
    <w:rsid w:val="003817E2"/>
    <w:rsid w:val="00392B19"/>
    <w:rsid w:val="003964FD"/>
    <w:rsid w:val="003A1DC8"/>
    <w:rsid w:val="003A4EA7"/>
    <w:rsid w:val="003B60FC"/>
    <w:rsid w:val="003C11EF"/>
    <w:rsid w:val="003C6AC0"/>
    <w:rsid w:val="003C7AD1"/>
    <w:rsid w:val="003D1FC1"/>
    <w:rsid w:val="003E7067"/>
    <w:rsid w:val="003F24BA"/>
    <w:rsid w:val="003F725D"/>
    <w:rsid w:val="004000A6"/>
    <w:rsid w:val="004026E3"/>
    <w:rsid w:val="00406BD2"/>
    <w:rsid w:val="00410E73"/>
    <w:rsid w:val="00411622"/>
    <w:rsid w:val="004157BB"/>
    <w:rsid w:val="0041588F"/>
    <w:rsid w:val="00416D48"/>
    <w:rsid w:val="00422531"/>
    <w:rsid w:val="00427CBC"/>
    <w:rsid w:val="004354E5"/>
    <w:rsid w:val="00440FC5"/>
    <w:rsid w:val="00446CE8"/>
    <w:rsid w:val="00454E25"/>
    <w:rsid w:val="004605BC"/>
    <w:rsid w:val="0046689F"/>
    <w:rsid w:val="00475AD4"/>
    <w:rsid w:val="004808D5"/>
    <w:rsid w:val="00484772"/>
    <w:rsid w:val="00487330"/>
    <w:rsid w:val="00490AAE"/>
    <w:rsid w:val="00493DA0"/>
    <w:rsid w:val="00497DB8"/>
    <w:rsid w:val="004A512C"/>
    <w:rsid w:val="004B2A79"/>
    <w:rsid w:val="004B2A9B"/>
    <w:rsid w:val="004B6DC3"/>
    <w:rsid w:val="004C3481"/>
    <w:rsid w:val="004C416D"/>
    <w:rsid w:val="004D2E3D"/>
    <w:rsid w:val="004E73A7"/>
    <w:rsid w:val="004F00CB"/>
    <w:rsid w:val="004F31AA"/>
    <w:rsid w:val="00500CE7"/>
    <w:rsid w:val="005034C4"/>
    <w:rsid w:val="0050643F"/>
    <w:rsid w:val="0051662F"/>
    <w:rsid w:val="00517047"/>
    <w:rsid w:val="00523C17"/>
    <w:rsid w:val="0052701A"/>
    <w:rsid w:val="00537936"/>
    <w:rsid w:val="00543B67"/>
    <w:rsid w:val="00566F6F"/>
    <w:rsid w:val="005703F6"/>
    <w:rsid w:val="00575E27"/>
    <w:rsid w:val="00577ED0"/>
    <w:rsid w:val="005A670D"/>
    <w:rsid w:val="005C1252"/>
    <w:rsid w:val="005C21C7"/>
    <w:rsid w:val="005C48B3"/>
    <w:rsid w:val="005D18BA"/>
    <w:rsid w:val="005E4728"/>
    <w:rsid w:val="006029C0"/>
    <w:rsid w:val="00606B75"/>
    <w:rsid w:val="00615084"/>
    <w:rsid w:val="00630712"/>
    <w:rsid w:val="00635892"/>
    <w:rsid w:val="00635A1D"/>
    <w:rsid w:val="006411F3"/>
    <w:rsid w:val="006424E9"/>
    <w:rsid w:val="0064477F"/>
    <w:rsid w:val="0065178F"/>
    <w:rsid w:val="00654017"/>
    <w:rsid w:val="00654AAF"/>
    <w:rsid w:val="006576FF"/>
    <w:rsid w:val="00661104"/>
    <w:rsid w:val="0066360A"/>
    <w:rsid w:val="00664025"/>
    <w:rsid w:val="006716E5"/>
    <w:rsid w:val="00672C36"/>
    <w:rsid w:val="006750EE"/>
    <w:rsid w:val="00686172"/>
    <w:rsid w:val="006870DD"/>
    <w:rsid w:val="0069455D"/>
    <w:rsid w:val="00695EA1"/>
    <w:rsid w:val="00697398"/>
    <w:rsid w:val="006A1B90"/>
    <w:rsid w:val="006A6CE9"/>
    <w:rsid w:val="006B01ED"/>
    <w:rsid w:val="006B7178"/>
    <w:rsid w:val="006C641F"/>
    <w:rsid w:val="006D0A32"/>
    <w:rsid w:val="006E2656"/>
    <w:rsid w:val="006E4124"/>
    <w:rsid w:val="006F0D7A"/>
    <w:rsid w:val="006F5497"/>
    <w:rsid w:val="00707F47"/>
    <w:rsid w:val="00713E76"/>
    <w:rsid w:val="00737B25"/>
    <w:rsid w:val="007410CF"/>
    <w:rsid w:val="00755E40"/>
    <w:rsid w:val="00770362"/>
    <w:rsid w:val="00770F38"/>
    <w:rsid w:val="0079188F"/>
    <w:rsid w:val="007926AA"/>
    <w:rsid w:val="00792B30"/>
    <w:rsid w:val="00796182"/>
    <w:rsid w:val="00796D94"/>
    <w:rsid w:val="007A32F0"/>
    <w:rsid w:val="007A5005"/>
    <w:rsid w:val="007B0465"/>
    <w:rsid w:val="007B39C3"/>
    <w:rsid w:val="007C0446"/>
    <w:rsid w:val="007C13A5"/>
    <w:rsid w:val="007C170A"/>
    <w:rsid w:val="007E0E44"/>
    <w:rsid w:val="007E7A1B"/>
    <w:rsid w:val="007F3661"/>
    <w:rsid w:val="007F3A1D"/>
    <w:rsid w:val="007F79C4"/>
    <w:rsid w:val="00800C0A"/>
    <w:rsid w:val="00801122"/>
    <w:rsid w:val="008043AE"/>
    <w:rsid w:val="008055DA"/>
    <w:rsid w:val="008112CA"/>
    <w:rsid w:val="00817BB3"/>
    <w:rsid w:val="00822F53"/>
    <w:rsid w:val="00830831"/>
    <w:rsid w:val="0083109E"/>
    <w:rsid w:val="008314B3"/>
    <w:rsid w:val="00831EF9"/>
    <w:rsid w:val="008328D2"/>
    <w:rsid w:val="008352F0"/>
    <w:rsid w:val="00850BDA"/>
    <w:rsid w:val="0085577A"/>
    <w:rsid w:val="008606F3"/>
    <w:rsid w:val="008641DA"/>
    <w:rsid w:val="0086607B"/>
    <w:rsid w:val="0087675D"/>
    <w:rsid w:val="00881E6E"/>
    <w:rsid w:val="00884220"/>
    <w:rsid w:val="008932BA"/>
    <w:rsid w:val="00895FE6"/>
    <w:rsid w:val="008A040C"/>
    <w:rsid w:val="008A5E64"/>
    <w:rsid w:val="008A7FD2"/>
    <w:rsid w:val="008B114C"/>
    <w:rsid w:val="008B4517"/>
    <w:rsid w:val="008C0A78"/>
    <w:rsid w:val="008C0CBA"/>
    <w:rsid w:val="008C18FE"/>
    <w:rsid w:val="008C1985"/>
    <w:rsid w:val="008C7D91"/>
    <w:rsid w:val="008D3421"/>
    <w:rsid w:val="008D71C8"/>
    <w:rsid w:val="008E26BC"/>
    <w:rsid w:val="009009F1"/>
    <w:rsid w:val="00902078"/>
    <w:rsid w:val="009023B3"/>
    <w:rsid w:val="00903D06"/>
    <w:rsid w:val="00906619"/>
    <w:rsid w:val="009366A3"/>
    <w:rsid w:val="0094130E"/>
    <w:rsid w:val="00942A00"/>
    <w:rsid w:val="0094541C"/>
    <w:rsid w:val="00945F8B"/>
    <w:rsid w:val="009473F8"/>
    <w:rsid w:val="00947F86"/>
    <w:rsid w:val="00950A29"/>
    <w:rsid w:val="00951B80"/>
    <w:rsid w:val="00954017"/>
    <w:rsid w:val="0095524D"/>
    <w:rsid w:val="00956815"/>
    <w:rsid w:val="00971DA1"/>
    <w:rsid w:val="00973CD9"/>
    <w:rsid w:val="00986931"/>
    <w:rsid w:val="00996707"/>
    <w:rsid w:val="009A2732"/>
    <w:rsid w:val="009A7D03"/>
    <w:rsid w:val="009B2055"/>
    <w:rsid w:val="009B341D"/>
    <w:rsid w:val="009C29C0"/>
    <w:rsid w:val="009C2A42"/>
    <w:rsid w:val="009C6D64"/>
    <w:rsid w:val="009E017C"/>
    <w:rsid w:val="009E413D"/>
    <w:rsid w:val="009F1689"/>
    <w:rsid w:val="009F1A66"/>
    <w:rsid w:val="00A0685D"/>
    <w:rsid w:val="00A13436"/>
    <w:rsid w:val="00A22DAD"/>
    <w:rsid w:val="00A2675A"/>
    <w:rsid w:val="00A31149"/>
    <w:rsid w:val="00A36F22"/>
    <w:rsid w:val="00A37C7E"/>
    <w:rsid w:val="00A37CA8"/>
    <w:rsid w:val="00A41CDD"/>
    <w:rsid w:val="00A42198"/>
    <w:rsid w:val="00A5270C"/>
    <w:rsid w:val="00A74E71"/>
    <w:rsid w:val="00A82F3A"/>
    <w:rsid w:val="00A92502"/>
    <w:rsid w:val="00A92BAD"/>
    <w:rsid w:val="00A9321A"/>
    <w:rsid w:val="00A963C3"/>
    <w:rsid w:val="00AA2F43"/>
    <w:rsid w:val="00AA3C6B"/>
    <w:rsid w:val="00AA42E2"/>
    <w:rsid w:val="00AA6E6D"/>
    <w:rsid w:val="00AB0593"/>
    <w:rsid w:val="00AB66FF"/>
    <w:rsid w:val="00AD1340"/>
    <w:rsid w:val="00AD17FF"/>
    <w:rsid w:val="00AD54B7"/>
    <w:rsid w:val="00AE0411"/>
    <w:rsid w:val="00AE6A38"/>
    <w:rsid w:val="00AF1148"/>
    <w:rsid w:val="00AF3C2E"/>
    <w:rsid w:val="00B0260F"/>
    <w:rsid w:val="00B1647F"/>
    <w:rsid w:val="00B16ECB"/>
    <w:rsid w:val="00B24B22"/>
    <w:rsid w:val="00B27838"/>
    <w:rsid w:val="00B323B3"/>
    <w:rsid w:val="00B33076"/>
    <w:rsid w:val="00B56F9E"/>
    <w:rsid w:val="00B61A0B"/>
    <w:rsid w:val="00B760FB"/>
    <w:rsid w:val="00B77009"/>
    <w:rsid w:val="00B804DF"/>
    <w:rsid w:val="00B86100"/>
    <w:rsid w:val="00B924F9"/>
    <w:rsid w:val="00B92DE4"/>
    <w:rsid w:val="00B96AE2"/>
    <w:rsid w:val="00BA7FAF"/>
    <w:rsid w:val="00BB045C"/>
    <w:rsid w:val="00BB6EEA"/>
    <w:rsid w:val="00BC10FB"/>
    <w:rsid w:val="00BC1D92"/>
    <w:rsid w:val="00BC2CE7"/>
    <w:rsid w:val="00BD0CCD"/>
    <w:rsid w:val="00BD0DB2"/>
    <w:rsid w:val="00BD603F"/>
    <w:rsid w:val="00BD6846"/>
    <w:rsid w:val="00BE4438"/>
    <w:rsid w:val="00BE4F86"/>
    <w:rsid w:val="00BE718A"/>
    <w:rsid w:val="00BF1B43"/>
    <w:rsid w:val="00BF4A12"/>
    <w:rsid w:val="00C072BF"/>
    <w:rsid w:val="00C10890"/>
    <w:rsid w:val="00C10914"/>
    <w:rsid w:val="00C11CF4"/>
    <w:rsid w:val="00C2546A"/>
    <w:rsid w:val="00C30FCB"/>
    <w:rsid w:val="00C33748"/>
    <w:rsid w:val="00C34914"/>
    <w:rsid w:val="00C43097"/>
    <w:rsid w:val="00C4674C"/>
    <w:rsid w:val="00C51A93"/>
    <w:rsid w:val="00C61DD9"/>
    <w:rsid w:val="00C62509"/>
    <w:rsid w:val="00C6690D"/>
    <w:rsid w:val="00C66C8B"/>
    <w:rsid w:val="00C706F4"/>
    <w:rsid w:val="00C72375"/>
    <w:rsid w:val="00C76769"/>
    <w:rsid w:val="00C82F5E"/>
    <w:rsid w:val="00C87428"/>
    <w:rsid w:val="00C95ED3"/>
    <w:rsid w:val="00CA6548"/>
    <w:rsid w:val="00CB2E85"/>
    <w:rsid w:val="00CB7BA1"/>
    <w:rsid w:val="00CB7CFD"/>
    <w:rsid w:val="00CC069C"/>
    <w:rsid w:val="00CE2E60"/>
    <w:rsid w:val="00CE564D"/>
    <w:rsid w:val="00CF5C21"/>
    <w:rsid w:val="00D00380"/>
    <w:rsid w:val="00D0229A"/>
    <w:rsid w:val="00D03F35"/>
    <w:rsid w:val="00D112B6"/>
    <w:rsid w:val="00D21239"/>
    <w:rsid w:val="00D22DBE"/>
    <w:rsid w:val="00D23AAB"/>
    <w:rsid w:val="00D26196"/>
    <w:rsid w:val="00D266E5"/>
    <w:rsid w:val="00D31DF7"/>
    <w:rsid w:val="00D36003"/>
    <w:rsid w:val="00D36B56"/>
    <w:rsid w:val="00D36D90"/>
    <w:rsid w:val="00D44CFE"/>
    <w:rsid w:val="00D55542"/>
    <w:rsid w:val="00D57316"/>
    <w:rsid w:val="00D6066D"/>
    <w:rsid w:val="00D62D5E"/>
    <w:rsid w:val="00D63D2B"/>
    <w:rsid w:val="00D659E4"/>
    <w:rsid w:val="00D76CBB"/>
    <w:rsid w:val="00D802F6"/>
    <w:rsid w:val="00D80966"/>
    <w:rsid w:val="00D82870"/>
    <w:rsid w:val="00D82BD1"/>
    <w:rsid w:val="00D87B00"/>
    <w:rsid w:val="00D94569"/>
    <w:rsid w:val="00D94E2D"/>
    <w:rsid w:val="00DA1418"/>
    <w:rsid w:val="00DA4AF7"/>
    <w:rsid w:val="00DA5344"/>
    <w:rsid w:val="00DD2501"/>
    <w:rsid w:val="00DE20C0"/>
    <w:rsid w:val="00DF2C8F"/>
    <w:rsid w:val="00E0020F"/>
    <w:rsid w:val="00E05E44"/>
    <w:rsid w:val="00E17BED"/>
    <w:rsid w:val="00E26C37"/>
    <w:rsid w:val="00E405F2"/>
    <w:rsid w:val="00E51021"/>
    <w:rsid w:val="00E57928"/>
    <w:rsid w:val="00E638DA"/>
    <w:rsid w:val="00E76B03"/>
    <w:rsid w:val="00E80A31"/>
    <w:rsid w:val="00E90BC5"/>
    <w:rsid w:val="00EA48CB"/>
    <w:rsid w:val="00EA5E4A"/>
    <w:rsid w:val="00EB5513"/>
    <w:rsid w:val="00EC2982"/>
    <w:rsid w:val="00ED0EB6"/>
    <w:rsid w:val="00ED7692"/>
    <w:rsid w:val="00EE1747"/>
    <w:rsid w:val="00EE4937"/>
    <w:rsid w:val="00EF6272"/>
    <w:rsid w:val="00F01A7E"/>
    <w:rsid w:val="00F04EB6"/>
    <w:rsid w:val="00F05A62"/>
    <w:rsid w:val="00F136A6"/>
    <w:rsid w:val="00F1380F"/>
    <w:rsid w:val="00F24300"/>
    <w:rsid w:val="00F250C3"/>
    <w:rsid w:val="00F25932"/>
    <w:rsid w:val="00F370C6"/>
    <w:rsid w:val="00F42F63"/>
    <w:rsid w:val="00F46E7C"/>
    <w:rsid w:val="00F60D84"/>
    <w:rsid w:val="00F67287"/>
    <w:rsid w:val="00F679AA"/>
    <w:rsid w:val="00F7626C"/>
    <w:rsid w:val="00F769CA"/>
    <w:rsid w:val="00F83E99"/>
    <w:rsid w:val="00F84EB4"/>
    <w:rsid w:val="00F915D9"/>
    <w:rsid w:val="00F95382"/>
    <w:rsid w:val="00FA2E40"/>
    <w:rsid w:val="00FA7073"/>
    <w:rsid w:val="00FC1143"/>
    <w:rsid w:val="00FD6425"/>
    <w:rsid w:val="00FE3799"/>
    <w:rsid w:val="00FF239E"/>
    <w:rsid w:val="00FF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20B3DD2-CC7C-4C8B-89E0-F3678219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pPr>
    <w:rPr>
      <w:rFonts w:eastAsia="Arial Unicode MS"/>
      <w:kern w:val="1"/>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autoSpaceDE w:val="0"/>
      <w:autoSpaceDN w:val="0"/>
      <w:adjustRightInd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Fuentedeprrafopredeter1">
    <w:name w:val="Fuente de párrafo predeter.1"/>
  </w:style>
  <w:style w:type="character" w:styleId="Hipervnculo">
    <w:name w:val="Hyperlink"/>
    <w:rPr>
      <w:color w:val="0000FF"/>
      <w:u w:val="single"/>
    </w:rPr>
  </w:style>
  <w:style w:type="paragraph" w:customStyle="1" w:styleId="Encabezado2">
    <w:name w:val="Encabezado2"/>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NormalWeb">
    <w:name w:val="Normal (Web)"/>
    <w:basedOn w:val="Normal"/>
    <w:pPr>
      <w:spacing w:before="100" w:after="100"/>
    </w:pPr>
  </w:style>
  <w:style w:type="paragraph" w:styleId="Ttulo">
    <w:name w:val="Title"/>
    <w:basedOn w:val="Normal"/>
    <w:next w:val="Subttulo"/>
    <w:qFormat/>
    <w:pPr>
      <w:tabs>
        <w:tab w:val="center" w:pos="4680"/>
      </w:tabs>
      <w:jc w:val="center"/>
    </w:pPr>
    <w:rPr>
      <w:b/>
      <w:spacing w:val="-3"/>
      <w:u w:val="single"/>
    </w:rPr>
  </w:style>
  <w:style w:type="paragraph" w:styleId="Subttulo">
    <w:name w:val="Subtitle"/>
    <w:basedOn w:val="Encabezado1"/>
    <w:next w:val="Textoindependiente"/>
    <w:qFormat/>
    <w:pPr>
      <w:jc w:val="center"/>
    </w:pPr>
    <w:rPr>
      <w:i/>
      <w:iCs/>
    </w:rPr>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style>
  <w:style w:type="paragraph" w:customStyle="1" w:styleId="Car">
    <w:name w:val="Car"/>
    <w:basedOn w:val="Normal"/>
    <w:pPr>
      <w:widowControl/>
      <w:suppressAutoHyphens w:val="0"/>
      <w:spacing w:after="160" w:line="240" w:lineRule="exact"/>
    </w:pPr>
    <w:rPr>
      <w:rFonts w:ascii="Verdana" w:eastAsia="Times New Roman" w:hAnsi="Verdana"/>
      <w:sz w:val="20"/>
      <w:szCs w:val="21"/>
      <w:lang w:val="en-AU"/>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semiHidden/>
    <w:rsid w:val="00850BDA"/>
    <w:rPr>
      <w:rFonts w:ascii="Tahoma" w:hAnsi="Tahoma" w:cs="Tahoma"/>
      <w:sz w:val="16"/>
      <w:szCs w:val="16"/>
    </w:rPr>
  </w:style>
  <w:style w:type="paragraph" w:customStyle="1" w:styleId="bodytext2">
    <w:name w:val="bodytext2"/>
    <w:basedOn w:val="Normal"/>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rsid w:val="00796D94"/>
    <w:pPr>
      <w:widowControl/>
      <w:suppressAutoHyphens w:val="0"/>
      <w:spacing w:after="160" w:line="240" w:lineRule="exact"/>
    </w:pPr>
    <w:rPr>
      <w:rFonts w:ascii="Verdana" w:eastAsia="Times New Roman" w:hAnsi="Verdana" w:cs="Verdana"/>
      <w:kern w:val="0"/>
      <w:sz w:val="20"/>
      <w:szCs w:val="20"/>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rsid w:val="009E413D"/>
    <w:pPr>
      <w:widowControl/>
      <w:suppressAutoHyphens w:val="0"/>
      <w:spacing w:before="280" w:after="280"/>
    </w:pPr>
    <w:rPr>
      <w:rFonts w:eastAsia="Times New Roman"/>
      <w:b/>
      <w:bCs/>
      <w:color w:val="000000"/>
      <w:kern w:val="0"/>
      <w:lang w:val="es-ES" w:eastAsia="es-ES"/>
    </w:rPr>
  </w:style>
  <w:style w:type="paragraph" w:customStyle="1" w:styleId="Car0">
    <w:name w:val=" Car"/>
    <w:basedOn w:val="Normal"/>
    <w:semiHidden/>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styleId="Sangradetextonormal">
    <w:name w:val="Body Text Indent"/>
    <w:basedOn w:val="Normal"/>
    <w:rsid w:val="007A32F0"/>
    <w:pPr>
      <w:spacing w:after="120"/>
      <w:ind w:left="283"/>
    </w:pPr>
  </w:style>
  <w:style w:type="paragraph" w:styleId="Textoindependiente2">
    <w:name w:val="Body Text 2"/>
    <w:basedOn w:val="Normal"/>
    <w:rsid w:val="007A32F0"/>
    <w:pPr>
      <w:spacing w:after="120" w:line="480" w:lineRule="auto"/>
    </w:pPr>
  </w:style>
  <w:style w:type="paragraph" w:customStyle="1" w:styleId="BodyText20">
    <w:name w:val="Body Text 2"/>
    <w:basedOn w:val="Normal"/>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rsid w:val="007A32F0"/>
    <w:pPr>
      <w:widowControl/>
      <w:suppressAutoHyphens w:val="0"/>
      <w:overflowPunct w:val="0"/>
      <w:autoSpaceDE w:val="0"/>
      <w:autoSpaceDN w:val="0"/>
      <w:jc w:val="both"/>
    </w:pPr>
    <w:rPr>
      <w:rFonts w:ascii="Century Gothic" w:eastAsia="Times New Roman" w:hAnsi="Century Gothic"/>
      <w:kern w:val="0"/>
      <w:lang w:val="es-ES" w:eastAsia="es-ES"/>
    </w:rPr>
  </w:style>
  <w:style w:type="paragraph" w:customStyle="1" w:styleId="CharChar0">
    <w:name w:val=" Char Char"/>
    <w:basedOn w:val="Normal"/>
    <w:semiHidden/>
    <w:rsid w:val="00654AAF"/>
    <w:pPr>
      <w:widowControl/>
      <w:suppressAutoHyphens w:val="0"/>
      <w:spacing w:after="160" w:line="240" w:lineRule="exact"/>
    </w:pPr>
    <w:rPr>
      <w:rFonts w:ascii="Verdana" w:eastAsia="Times New Roman" w:hAnsi="Verdana"/>
      <w:kern w:val="0"/>
      <w:sz w:val="20"/>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6664">
      <w:bodyDiv w:val="1"/>
      <w:marLeft w:val="0"/>
      <w:marRight w:val="0"/>
      <w:marTop w:val="0"/>
      <w:marBottom w:val="0"/>
      <w:divBdr>
        <w:top w:val="none" w:sz="0" w:space="0" w:color="auto"/>
        <w:left w:val="none" w:sz="0" w:space="0" w:color="auto"/>
        <w:bottom w:val="none" w:sz="0" w:space="0" w:color="auto"/>
        <w:right w:val="none" w:sz="0" w:space="0" w:color="auto"/>
      </w:divBdr>
    </w:div>
    <w:div w:id="197861836">
      <w:bodyDiv w:val="1"/>
      <w:marLeft w:val="0"/>
      <w:marRight w:val="0"/>
      <w:marTop w:val="0"/>
      <w:marBottom w:val="0"/>
      <w:divBdr>
        <w:top w:val="none" w:sz="0" w:space="0" w:color="auto"/>
        <w:left w:val="none" w:sz="0" w:space="0" w:color="auto"/>
        <w:bottom w:val="none" w:sz="0" w:space="0" w:color="auto"/>
        <w:right w:val="none" w:sz="0" w:space="0" w:color="auto"/>
      </w:divBdr>
    </w:div>
    <w:div w:id="384646688">
      <w:bodyDiv w:val="1"/>
      <w:marLeft w:val="0"/>
      <w:marRight w:val="0"/>
      <w:marTop w:val="0"/>
      <w:marBottom w:val="0"/>
      <w:divBdr>
        <w:top w:val="none" w:sz="0" w:space="0" w:color="auto"/>
        <w:left w:val="none" w:sz="0" w:space="0" w:color="auto"/>
        <w:bottom w:val="none" w:sz="0" w:space="0" w:color="auto"/>
        <w:right w:val="none" w:sz="0" w:space="0" w:color="auto"/>
      </w:divBdr>
    </w:div>
    <w:div w:id="429398842">
      <w:bodyDiv w:val="1"/>
      <w:marLeft w:val="0"/>
      <w:marRight w:val="0"/>
      <w:marTop w:val="0"/>
      <w:marBottom w:val="0"/>
      <w:divBdr>
        <w:top w:val="none" w:sz="0" w:space="0" w:color="auto"/>
        <w:left w:val="none" w:sz="0" w:space="0" w:color="auto"/>
        <w:bottom w:val="none" w:sz="0" w:space="0" w:color="auto"/>
        <w:right w:val="none" w:sz="0" w:space="0" w:color="auto"/>
      </w:divBdr>
    </w:div>
    <w:div w:id="445201185">
      <w:bodyDiv w:val="1"/>
      <w:marLeft w:val="0"/>
      <w:marRight w:val="0"/>
      <w:marTop w:val="0"/>
      <w:marBottom w:val="0"/>
      <w:divBdr>
        <w:top w:val="none" w:sz="0" w:space="0" w:color="auto"/>
        <w:left w:val="none" w:sz="0" w:space="0" w:color="auto"/>
        <w:bottom w:val="none" w:sz="0" w:space="0" w:color="auto"/>
        <w:right w:val="none" w:sz="0" w:space="0" w:color="auto"/>
      </w:divBdr>
    </w:div>
    <w:div w:id="611130625">
      <w:bodyDiv w:val="1"/>
      <w:marLeft w:val="0"/>
      <w:marRight w:val="0"/>
      <w:marTop w:val="0"/>
      <w:marBottom w:val="0"/>
      <w:divBdr>
        <w:top w:val="none" w:sz="0" w:space="0" w:color="auto"/>
        <w:left w:val="none" w:sz="0" w:space="0" w:color="auto"/>
        <w:bottom w:val="none" w:sz="0" w:space="0" w:color="auto"/>
        <w:right w:val="none" w:sz="0" w:space="0" w:color="auto"/>
      </w:divBdr>
    </w:div>
    <w:div w:id="737090628">
      <w:bodyDiv w:val="1"/>
      <w:marLeft w:val="0"/>
      <w:marRight w:val="0"/>
      <w:marTop w:val="0"/>
      <w:marBottom w:val="0"/>
      <w:divBdr>
        <w:top w:val="none" w:sz="0" w:space="0" w:color="auto"/>
        <w:left w:val="none" w:sz="0" w:space="0" w:color="auto"/>
        <w:bottom w:val="none" w:sz="0" w:space="0" w:color="auto"/>
        <w:right w:val="none" w:sz="0" w:space="0" w:color="auto"/>
      </w:divBdr>
    </w:div>
    <w:div w:id="1004013009">
      <w:bodyDiv w:val="1"/>
      <w:marLeft w:val="0"/>
      <w:marRight w:val="0"/>
      <w:marTop w:val="0"/>
      <w:marBottom w:val="0"/>
      <w:divBdr>
        <w:top w:val="none" w:sz="0" w:space="0" w:color="auto"/>
        <w:left w:val="none" w:sz="0" w:space="0" w:color="auto"/>
        <w:bottom w:val="none" w:sz="0" w:space="0" w:color="auto"/>
        <w:right w:val="none" w:sz="0" w:space="0" w:color="auto"/>
      </w:divBdr>
    </w:div>
    <w:div w:id="1142381523">
      <w:bodyDiv w:val="1"/>
      <w:marLeft w:val="0"/>
      <w:marRight w:val="0"/>
      <w:marTop w:val="0"/>
      <w:marBottom w:val="0"/>
      <w:divBdr>
        <w:top w:val="none" w:sz="0" w:space="0" w:color="auto"/>
        <w:left w:val="none" w:sz="0" w:space="0" w:color="auto"/>
        <w:bottom w:val="none" w:sz="0" w:space="0" w:color="auto"/>
        <w:right w:val="none" w:sz="0" w:space="0" w:color="auto"/>
      </w:divBdr>
    </w:div>
    <w:div w:id="1271476744">
      <w:bodyDiv w:val="1"/>
      <w:marLeft w:val="0"/>
      <w:marRight w:val="0"/>
      <w:marTop w:val="0"/>
      <w:marBottom w:val="0"/>
      <w:divBdr>
        <w:top w:val="none" w:sz="0" w:space="0" w:color="auto"/>
        <w:left w:val="none" w:sz="0" w:space="0" w:color="auto"/>
        <w:bottom w:val="none" w:sz="0" w:space="0" w:color="auto"/>
        <w:right w:val="none" w:sz="0" w:space="0" w:color="auto"/>
      </w:divBdr>
    </w:div>
    <w:div w:id="1317299520">
      <w:bodyDiv w:val="1"/>
      <w:marLeft w:val="0"/>
      <w:marRight w:val="0"/>
      <w:marTop w:val="0"/>
      <w:marBottom w:val="0"/>
      <w:divBdr>
        <w:top w:val="none" w:sz="0" w:space="0" w:color="auto"/>
        <w:left w:val="none" w:sz="0" w:space="0" w:color="auto"/>
        <w:bottom w:val="none" w:sz="0" w:space="0" w:color="auto"/>
        <w:right w:val="none" w:sz="0" w:space="0" w:color="auto"/>
      </w:divBdr>
    </w:div>
    <w:div w:id="1535536797">
      <w:bodyDiv w:val="1"/>
      <w:marLeft w:val="0"/>
      <w:marRight w:val="0"/>
      <w:marTop w:val="0"/>
      <w:marBottom w:val="0"/>
      <w:divBdr>
        <w:top w:val="none" w:sz="0" w:space="0" w:color="auto"/>
        <w:left w:val="none" w:sz="0" w:space="0" w:color="auto"/>
        <w:bottom w:val="none" w:sz="0" w:space="0" w:color="auto"/>
        <w:right w:val="none" w:sz="0" w:space="0" w:color="auto"/>
      </w:divBdr>
    </w:div>
    <w:div w:id="1619146918">
      <w:bodyDiv w:val="1"/>
      <w:marLeft w:val="0"/>
      <w:marRight w:val="0"/>
      <w:marTop w:val="0"/>
      <w:marBottom w:val="0"/>
      <w:divBdr>
        <w:top w:val="none" w:sz="0" w:space="0" w:color="auto"/>
        <w:left w:val="none" w:sz="0" w:space="0" w:color="auto"/>
        <w:bottom w:val="none" w:sz="0" w:space="0" w:color="auto"/>
        <w:right w:val="none" w:sz="0" w:space="0" w:color="auto"/>
      </w:divBdr>
    </w:div>
    <w:div w:id="1625424769">
      <w:bodyDiv w:val="1"/>
      <w:marLeft w:val="0"/>
      <w:marRight w:val="0"/>
      <w:marTop w:val="0"/>
      <w:marBottom w:val="0"/>
      <w:divBdr>
        <w:top w:val="none" w:sz="0" w:space="0" w:color="auto"/>
        <w:left w:val="none" w:sz="0" w:space="0" w:color="auto"/>
        <w:bottom w:val="none" w:sz="0" w:space="0" w:color="auto"/>
        <w:right w:val="none" w:sz="0" w:space="0" w:color="auto"/>
      </w:divBdr>
    </w:div>
    <w:div w:id="1756583474">
      <w:bodyDiv w:val="1"/>
      <w:marLeft w:val="0"/>
      <w:marRight w:val="0"/>
      <w:marTop w:val="0"/>
      <w:marBottom w:val="0"/>
      <w:divBdr>
        <w:top w:val="none" w:sz="0" w:space="0" w:color="auto"/>
        <w:left w:val="none" w:sz="0" w:space="0" w:color="auto"/>
        <w:bottom w:val="none" w:sz="0" w:space="0" w:color="auto"/>
        <w:right w:val="none" w:sz="0" w:space="0" w:color="auto"/>
      </w:divBdr>
    </w:div>
    <w:div w:id="1811046326">
      <w:bodyDiv w:val="1"/>
      <w:marLeft w:val="0"/>
      <w:marRight w:val="0"/>
      <w:marTop w:val="0"/>
      <w:marBottom w:val="0"/>
      <w:divBdr>
        <w:top w:val="none" w:sz="0" w:space="0" w:color="auto"/>
        <w:left w:val="none" w:sz="0" w:space="0" w:color="auto"/>
        <w:bottom w:val="none" w:sz="0" w:space="0" w:color="auto"/>
        <w:right w:val="none" w:sz="0" w:space="0" w:color="auto"/>
      </w:divBdr>
    </w:div>
    <w:div w:id="1986083064">
      <w:bodyDiv w:val="1"/>
      <w:marLeft w:val="0"/>
      <w:marRight w:val="0"/>
      <w:marTop w:val="0"/>
      <w:marBottom w:val="0"/>
      <w:divBdr>
        <w:top w:val="none" w:sz="0" w:space="0" w:color="auto"/>
        <w:left w:val="none" w:sz="0" w:space="0" w:color="auto"/>
        <w:bottom w:val="none" w:sz="0" w:space="0" w:color="auto"/>
        <w:right w:val="none" w:sz="0" w:space="0" w:color="auto"/>
      </w:divBdr>
    </w:div>
    <w:div w:id="2060857312">
      <w:bodyDiv w:val="1"/>
      <w:marLeft w:val="0"/>
      <w:marRight w:val="0"/>
      <w:marTop w:val="0"/>
      <w:marBottom w:val="0"/>
      <w:divBdr>
        <w:top w:val="none" w:sz="0" w:space="0" w:color="auto"/>
        <w:left w:val="none" w:sz="0" w:space="0" w:color="auto"/>
        <w:bottom w:val="none" w:sz="0" w:space="0" w:color="auto"/>
        <w:right w:val="none" w:sz="0" w:space="0" w:color="auto"/>
      </w:divBdr>
    </w:div>
    <w:div w:id="21042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Words>
  <Characters>6374</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AVISO N° 27-2009</vt:lpstr>
    </vt:vector>
  </TitlesOfParts>
  <Company>Poder Judicial</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cp:keywords/>
  <cp:lastModifiedBy>Jeffry Alban Hernández Aguilar</cp:lastModifiedBy>
  <cp:revision>1</cp:revision>
  <cp:lastPrinted>2013-02-08T15:17:00Z</cp:lastPrinted>
  <dcterms:created xsi:type="dcterms:W3CDTF">2019-09-11T21:55:00Z</dcterms:created>
  <dcterms:modified xsi:type="dcterms:W3CDTF">2019-09-11T21:55:00Z</dcterms:modified>
</cp:coreProperties>
</file>